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contextualSpacing/>
        <w:jc w:val="center"/>
        <w:rPr>
          <w:rFonts w:ascii="Calibri" w:hAnsi="Calibri"/>
          <w:sz w:val="24"/>
          <w:szCs w:val="24"/>
        </w:rPr>
      </w:pPr>
      <w:commentRangeStart w:id="0"/>
      <w:r>
        <w:rPr>
          <w:rFonts w:cs="Arial" w:ascii="Calibri" w:hAnsi="Calibri"/>
          <w:b/>
          <w:bCs/>
          <w:i w:val="false"/>
          <w:iCs w:val="false"/>
          <w:color w:val="000000" w:themeColor="text1"/>
          <w:sz w:val="24"/>
          <w:szCs w:val="24"/>
          <w:shd w:fill="auto" w:val="clear"/>
        </w:rPr>
        <w:t>MODELO DE TERMO DE CONTRATO</w:t>
        <w:br/>
        <w:t>Lei nº 14.133, de 1º de abril de 2021</w:t>
        <w:br/>
        <w:t>AQUISIÇÕES – LICITAÇÃO</w:t>
      </w:r>
      <w:commentRangeEnd w:id="0"/>
      <w:r>
        <w:commentReference w:id="0"/>
      </w:r>
      <w:r>
        <w:rPr>
          <w:rFonts w:cs="Arial" w:ascii="Calibri" w:hAnsi="Calibri"/>
          <w:b/>
          <w:bCs/>
          <w:i w:val="false"/>
          <w:iCs w:val="false"/>
          <w:color w:val="000000" w:themeColor="text1"/>
          <w:sz w:val="24"/>
          <w:szCs w:val="24"/>
          <w:shd w:fill="auto" w:val="clear"/>
        </w:rPr>
      </w:r>
    </w:p>
    <w:p>
      <w:pPr>
        <w:pStyle w:val="Normal"/>
        <w:spacing w:lineRule="auto" w:line="240" w:before="0" w:after="0"/>
        <w:contextualSpacing/>
        <w:jc w:val="center"/>
        <w:rPr>
          <w:rFonts w:ascii="Calibri" w:hAnsi="Calibri" w:cs="Arial"/>
          <w:b/>
          <w:b/>
          <w:bCs/>
          <w:i w:val="false"/>
          <w:i w:val="false"/>
          <w:iCs w:val="false"/>
          <w:color w:val="000000" w:themeColor="text1"/>
          <w:sz w:val="24"/>
          <w:szCs w:val="24"/>
          <w:shd w:fill="auto" w:val="clear"/>
        </w:rPr>
      </w:pPr>
      <w:r>
        <w:rPr>
          <w:rFonts w:cs="Arial" w:ascii="Calibri" w:hAnsi="Calibri"/>
          <w:b/>
          <w:bCs/>
          <w:i w:val="false"/>
          <w:iCs w:val="false"/>
          <w:color w:val="000000" w:themeColor="text1"/>
          <w:sz w:val="24"/>
          <w:szCs w:val="24"/>
          <w:shd w:fill="auto" w:val="clear"/>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40" w:before="0" w:after="0"/>
        <w:contextualSpacing/>
        <w:jc w:val="center"/>
        <w:rPr>
          <w:rFonts w:ascii="Calibri" w:hAnsi="Calibri" w:cs="Arial"/>
          <w:b/>
          <w:b/>
          <w:i w:val="false"/>
          <w:i w:val="false"/>
          <w:iCs w:val="false"/>
          <w:color w:val="000000"/>
          <w:sz w:val="24"/>
          <w:szCs w:val="24"/>
          <w:shd w:fill="auto" w:val="clear"/>
        </w:rPr>
      </w:pPr>
      <w:r>
        <w:rPr>
          <w:rFonts w:cs="Arial" w:ascii="Calibri" w:hAnsi="Calibri"/>
          <w:b/>
          <w:i w:val="false"/>
          <w:iCs w:val="false"/>
          <w:color w:val="000000"/>
          <w:sz w:val="24"/>
          <w:szCs w:val="24"/>
          <w:shd w:fill="auto" w:val="clear"/>
        </w:rPr>
      </w:r>
    </w:p>
    <w:p>
      <w:pPr>
        <w:pStyle w:val="Normal"/>
        <w:spacing w:lineRule="auto" w:line="240" w:before="0" w:after="0"/>
        <w:ind w:left="708" w:firstLine="708"/>
        <w:contextualSpacing/>
        <w:jc w:val="center"/>
        <w:rPr>
          <w:rFonts w:ascii="Calibri" w:hAnsi="Calibri" w:cs="Arial"/>
          <w:b/>
          <w:b/>
          <w:i w:val="false"/>
          <w:i w:val="false"/>
          <w:iCs w:val="false"/>
          <w:color w:val="000000"/>
          <w:sz w:val="24"/>
          <w:szCs w:val="24"/>
          <w:shd w:fill="auto" w:val="clear"/>
        </w:rPr>
      </w:pPr>
      <w:r>
        <w:rPr>
          <w:rFonts w:cs="Arial" w:ascii="Calibri" w:hAnsi="Calibri"/>
          <w:b/>
          <w:i w:val="false"/>
          <w:iCs w:val="false"/>
          <w:color w:val="000000"/>
          <w:sz w:val="24"/>
          <w:szCs w:val="24"/>
          <w:shd w:fill="auto" w:val="clear"/>
        </w:rPr>
      </w:r>
    </w:p>
    <w:p>
      <w:pPr>
        <w:pStyle w:val="Normal"/>
        <w:spacing w:lineRule="auto" w:line="240" w:before="0" w:after="0"/>
        <w:contextualSpacing/>
        <w:jc w:val="center"/>
        <w:rPr>
          <w:rFonts w:ascii="Calibri" w:hAnsi="Calibri" w:eastAsia="Times New Roman" w:cs="Arial"/>
          <w:b/>
          <w:b/>
          <w:sz w:val="24"/>
          <w:szCs w:val="24"/>
        </w:rPr>
      </w:pPr>
      <w:r>
        <w:rPr>
          <w:rFonts w:eastAsia="Times New Roman" w:cs="Arial" w:ascii="Calibri" w:hAnsi="Calibri"/>
          <w:b/>
          <w:sz w:val="24"/>
          <w:szCs w:val="24"/>
        </w:rPr>
      </w:r>
    </w:p>
    <w:p>
      <w:pPr>
        <w:pStyle w:val="Normal"/>
        <w:spacing w:lineRule="auto" w:line="240" w:before="0" w:after="0"/>
        <w:contextualSpacing/>
        <w:jc w:val="center"/>
        <w:rPr>
          <w:rFonts w:ascii="Calibri" w:hAnsi="Calibri" w:eastAsia="Times New Roman" w:cs="Arial"/>
          <w:b/>
          <w:b/>
          <w:sz w:val="24"/>
          <w:szCs w:val="24"/>
        </w:rPr>
      </w:pPr>
      <w:r>
        <w:rPr>
          <w:rFonts w:eastAsia="Times New Roman" w:cs="Arial" w:ascii="Calibri" w:hAnsi="Calibri"/>
          <w:b/>
          <w:sz w:val="24"/>
          <w:szCs w:val="24"/>
        </w:rPr>
      </w:r>
    </w:p>
    <w:p>
      <w:pPr>
        <w:pStyle w:val="Normal"/>
        <w:spacing w:lineRule="auto" w:line="240" w:before="0" w:after="0"/>
        <w:contextualSpacing/>
        <w:jc w:val="center"/>
        <w:rPr>
          <w:rFonts w:ascii="Calibri" w:hAnsi="Calibri"/>
          <w:sz w:val="24"/>
          <w:szCs w:val="24"/>
        </w:rPr>
      </w:pPr>
      <w:r>
        <w:rPr>
          <w:rFonts w:eastAsia="Times New Roman" w:cs="Arial" w:ascii="Calibri" w:hAnsi="Calibri"/>
          <w:b/>
          <w:i w:val="false"/>
          <w:iCs w:val="false"/>
          <w:color w:val="000000"/>
          <w:sz w:val="24"/>
          <w:szCs w:val="24"/>
          <w:shd w:fill="auto" w:val="clear"/>
        </w:rPr>
        <w:t>MARINHA DO BRASIL</w:t>
      </w:r>
    </w:p>
    <w:p>
      <w:pPr>
        <w:pStyle w:val="Normal"/>
        <w:spacing w:lineRule="auto" w:line="240" w:before="0" w:after="0"/>
        <w:contextualSpacing/>
        <w:jc w:val="center"/>
        <w:rPr>
          <w:rFonts w:ascii="Calibri" w:hAnsi="Calibri"/>
          <w:sz w:val="24"/>
          <w:szCs w:val="24"/>
        </w:rPr>
      </w:pPr>
      <w:r>
        <w:rPr>
          <w:rFonts w:eastAsia="Times New Roman" w:cs="Arial" w:ascii="Calibri" w:hAnsi="Calibri"/>
          <w:b/>
          <w:i w:val="false"/>
          <w:iCs w:val="false"/>
          <w:color w:val="000000"/>
          <w:sz w:val="24"/>
          <w:szCs w:val="24"/>
          <w:shd w:fill="auto" w:val="clear"/>
        </w:rPr>
        <w:t>ESCOLA DE APRENDIZES-MARINHEIROS DO CEARÁ</w:t>
      </w:r>
    </w:p>
    <w:p>
      <w:pPr>
        <w:pStyle w:val="Normal"/>
        <w:spacing w:lineRule="auto" w:line="240" w:before="0" w:after="0"/>
        <w:contextualSpacing/>
        <w:jc w:val="center"/>
        <w:rPr/>
      </w:pPr>
      <w:r>
        <w:rPr>
          <w:rFonts w:cs="Arial" w:ascii="Calibri" w:hAnsi="Calibri"/>
          <w:i w:val="false"/>
          <w:iCs w:val="false"/>
          <w:color w:val="000000"/>
          <w:sz w:val="24"/>
          <w:szCs w:val="24"/>
          <w:shd w:fill="auto" w:val="clear"/>
        </w:rPr>
        <w:t>(Processo Administrativo n</w:t>
      </w:r>
      <w:r>
        <w:rPr>
          <w:rFonts w:cs="Arial" w:ascii="Calibri" w:hAnsi="Calibri"/>
          <w:bCs/>
          <w:i w:val="false"/>
          <w:iCs w:val="false"/>
          <w:color w:val="000000"/>
          <w:sz w:val="24"/>
          <w:szCs w:val="24"/>
          <w:shd w:fill="auto" w:val="clear"/>
        </w:rPr>
        <w:t xml:space="preserve">° </w:t>
      </w:r>
      <w:r>
        <w:rPr>
          <w:rStyle w:val="Nfaseforte"/>
          <w:rFonts w:cs="Arial" w:ascii="Calibri" w:hAnsi="Calibri"/>
          <w:b w:val="false"/>
          <w:bCs w:val="false"/>
          <w:i w:val="false"/>
          <w:iCs w:val="false"/>
          <w:color w:val="000000"/>
          <w:sz w:val="24"/>
          <w:szCs w:val="24"/>
          <w:shd w:fill="auto" w:val="clear"/>
        </w:rPr>
        <w:t>63116.005056/2023-78</w:t>
      </w:r>
      <w:r>
        <w:rPr>
          <w:rFonts w:cs="Arial" w:ascii="Calibri" w:hAnsi="Calibri"/>
          <w:bCs/>
          <w:i w:val="false"/>
          <w:iCs w:val="false"/>
          <w:color w:val="000000"/>
          <w:sz w:val="24"/>
          <w:szCs w:val="24"/>
          <w:shd w:fill="auto" w:val="clear"/>
        </w:rPr>
        <w:t>)</w:t>
      </w:r>
    </w:p>
    <w:p>
      <w:pPr>
        <w:pStyle w:val="Normal"/>
        <w:spacing w:lineRule="auto" w:line="240" w:before="0" w:after="0"/>
        <w:contextualSpacing/>
        <w:jc w:val="center"/>
        <w:rPr>
          <w:rFonts w:ascii="Calibri" w:hAnsi="Calibri" w:cs="Arial"/>
          <w:bCs/>
          <w:sz w:val="24"/>
          <w:szCs w:val="24"/>
          <w:shd w:fill="auto" w:val="clear"/>
        </w:rPr>
      </w:pPr>
      <w:r>
        <w:rPr>
          <w:rFonts w:cs="Arial" w:ascii="Calibri" w:hAnsi="Calibri"/>
          <w:bCs/>
          <w:sz w:val="24"/>
          <w:szCs w:val="24"/>
          <w:shd w:fill="auto" w:val="clear"/>
        </w:rPr>
      </w:r>
    </w:p>
    <w:p>
      <w:pPr>
        <w:pStyle w:val="Prembulo"/>
        <w:spacing w:lineRule="auto" w:line="240" w:before="0" w:after="0"/>
        <w:contextualSpacing/>
        <w:rPr>
          <w:rFonts w:ascii="Calibri" w:hAnsi="Calibri"/>
          <w:sz w:val="24"/>
          <w:szCs w:val="24"/>
        </w:rPr>
      </w:pPr>
      <w:r>
        <w:rPr>
          <w:rFonts w:ascii="Calibri" w:hAnsi="Calibri"/>
          <w:bCs w:val="false"/>
          <w:i w:val="false"/>
          <w:iCs w:val="false"/>
          <w:color w:val="000000"/>
          <w:sz w:val="24"/>
          <w:szCs w:val="24"/>
          <w:shd w:fill="auto" w:val="clear"/>
        </w:rPr>
        <w:t xml:space="preserve">CONTRATO ADMINISTRATIVO Nº ......../...., QUE FAZEM ENTRE SI A UNIÃO, POR INTERMÉDIO DO (A) </w:t>
      </w:r>
      <w:r>
        <w:rPr>
          <w:rFonts w:eastAsia="Times New Roman" w:cs="Arial" w:ascii="Calibri" w:hAnsi="Calibri"/>
          <w:b w:val="false"/>
          <w:bCs w:val="false"/>
          <w:i w:val="false"/>
          <w:iCs w:val="false"/>
          <w:color w:val="000000"/>
          <w:sz w:val="24"/>
          <w:szCs w:val="24"/>
          <w:shd w:fill="auto" w:val="clear"/>
        </w:rPr>
        <w:t>ESCOLA DE APRENDIZES-MARINHEIROS DO CEARÁ</w:t>
      </w:r>
      <w:r>
        <w:rPr>
          <w:rFonts w:ascii="Calibri" w:hAnsi="Calibri"/>
          <w:bCs w:val="false"/>
          <w:i w:val="false"/>
          <w:iCs w:val="false"/>
          <w:color w:val="000000"/>
          <w:sz w:val="24"/>
          <w:szCs w:val="24"/>
          <w:shd w:fill="auto" w:val="clear"/>
        </w:rPr>
        <w:t xml:space="preserve"> E .........................................................…</w:t>
      </w:r>
    </w:p>
    <w:p>
      <w:pPr>
        <w:pStyle w:val="Prembulo"/>
        <w:spacing w:lineRule="auto" w:line="240" w:before="0" w:after="0"/>
        <w:contextualSpacing/>
        <w:rPr>
          <w:rFonts w:ascii="Calibri" w:hAnsi="Calibri"/>
          <w:bCs w:val="false"/>
          <w:sz w:val="24"/>
          <w:szCs w:val="24"/>
        </w:rPr>
      </w:pPr>
      <w:r>
        <w:rPr>
          <w:rFonts w:ascii="Calibri" w:hAnsi="Calibri"/>
          <w:bCs w:val="false"/>
          <w:sz w:val="24"/>
          <w:szCs w:val="24"/>
        </w:rPr>
      </w:r>
    </w:p>
    <w:p>
      <w:pPr>
        <w:pStyle w:val="Normal"/>
        <w:spacing w:lineRule="auto" w:line="240" w:before="0" w:after="0"/>
        <w:ind w:firstLine="1418"/>
        <w:contextualSpacing/>
        <w:jc w:val="both"/>
        <w:rPr/>
      </w:pPr>
      <w:r>
        <w:rPr>
          <w:rFonts w:eastAsia="Arial" w:cs="Arial" w:ascii="Calibri" w:hAnsi="Calibri"/>
          <w:i w:val="false"/>
          <w:iCs w:val="false"/>
          <w:color w:val="000000"/>
          <w:sz w:val="24"/>
          <w:szCs w:val="24"/>
          <w:shd w:fill="auto" w:val="clear"/>
        </w:rPr>
        <w:t xml:space="preserve">A União, por intermédio da ESCOLA DE APRENDIZES-MARINHEIROS DO CEARÁ, com sede no(a) Av. Coronel Filomeno Gomes, n° 30, Jacarecanga, CEP 60.010-280, na cidade de Fortaleza/CE, inscrito(a) no CNPJ sob o nº 00.394.502/0116-93, neste ato representado </w:t>
      </w:r>
      <w:r>
        <w:rPr>
          <w:rFonts w:eastAsia="Arial" w:cs="Times New Roman" w:ascii="Calibri" w:hAnsi="Calibri"/>
          <w:i w:val="false"/>
          <w:iCs w:val="false"/>
          <w:color w:val="000000"/>
          <w:sz w:val="24"/>
          <w:szCs w:val="24"/>
          <w:shd w:fill="auto" w:val="clear"/>
        </w:rPr>
        <w:t xml:space="preserve">pelo Comandante o Capitão de Fragata </w:t>
      </w:r>
      <w:r>
        <w:rPr>
          <w:rFonts w:eastAsia="Times New Roman" w:cs="Times New Roman" w:ascii="Calibri" w:hAnsi="Calibri"/>
          <w:b w:val="false"/>
          <w:bCs w:val="false"/>
          <w:i w:val="false"/>
          <w:iCs w:val="false"/>
          <w:color w:val="000000"/>
          <w:kern w:val="0"/>
          <w:sz w:val="24"/>
          <w:szCs w:val="24"/>
          <w:shd w:fill="auto" w:val="clear"/>
          <w:lang w:val="pt-BR" w:eastAsia="pt-BR" w:bidi="ar-SA"/>
        </w:rPr>
        <w:t>DANIEL ROCHA</w:t>
      </w:r>
      <w:r>
        <w:rPr>
          <w:rFonts w:eastAsia="Arial" w:cs="Times New Roman" w:ascii="Calibri" w:hAnsi="Calibri"/>
          <w:i w:val="false"/>
          <w:iCs w:val="false"/>
          <w:color w:val="000000"/>
          <w:sz w:val="24"/>
          <w:szCs w:val="24"/>
          <w:shd w:fill="auto" w:val="clear"/>
        </w:rPr>
        <w:t xml:space="preserve">, Ordenador de Despesas, nomeado pela Ordem de Serviço nº 187, de 1º de julho de 2022, inscrito no CPF nº </w:t>
      </w:r>
      <w:r>
        <w:rPr>
          <w:rFonts w:eastAsia="Times New Roman" w:cs="Times New Roman" w:ascii="Calibri" w:hAnsi="Calibri"/>
          <w:i w:val="false"/>
          <w:iCs w:val="false"/>
          <w:color w:val="000000"/>
          <w:kern w:val="0"/>
          <w:sz w:val="24"/>
          <w:szCs w:val="24"/>
          <w:shd w:fill="auto" w:val="clear"/>
          <w:lang w:val="pt-BR" w:eastAsia="pt-BR" w:bidi="ar-SA"/>
        </w:rPr>
        <w:t>004.642.886-06</w:t>
      </w:r>
      <w:r>
        <w:rPr>
          <w:rFonts w:eastAsia="Arial" w:cs="Times New Roman" w:ascii="Calibri" w:hAnsi="Calibri"/>
          <w:i w:val="false"/>
          <w:iCs w:val="false"/>
          <w:color w:val="000000"/>
          <w:sz w:val="24"/>
          <w:szCs w:val="24"/>
          <w:shd w:fill="auto" w:val="clear"/>
        </w:rPr>
        <w:t>, e em conformidade com as atribuições que lhe foram delegadas pela Portaria nº 143/Com3ºDN, de 11/03/2020</w:t>
      </w:r>
      <w:commentRangeStart w:id="1"/>
      <w:r>
        <w:rPr>
          <w:rFonts w:eastAsia="Arial" w:cs="Arial" w:ascii="Calibri" w:hAnsi="Calibri"/>
          <w:i w:val="false"/>
          <w:iCs w:val="false"/>
          <w:color w:val="000000"/>
          <w:sz w:val="24"/>
          <w:szCs w:val="24"/>
          <w:shd w:fill="auto" w:val="clear"/>
        </w:rPr>
        <w:t xml:space="preserve">, doravante denominado CONTRATANTE, e o(a) .............................., inscrito(a) no CNPJ/MF sob o nº ............................, sediado(a) na ..................................., doravante designado CONTRATADO, neste ato representado(a) por .................................. (nome e função no contratado), conforme atos constitutivos da empresa </w:t>
      </w:r>
      <w:r>
        <w:rPr>
          <w:rFonts w:eastAsia="Arial" w:cs="Arial" w:ascii="Calibri" w:hAnsi="Calibri"/>
          <w:b/>
          <w:bCs/>
          <w:i w:val="false"/>
          <w:iCs w:val="false"/>
          <w:color w:val="000000"/>
          <w:sz w:val="24"/>
          <w:szCs w:val="24"/>
          <w:shd w:fill="auto" w:val="clear"/>
        </w:rPr>
        <w:t>OU</w:t>
      </w:r>
      <w:r>
        <w:rPr>
          <w:rFonts w:eastAsia="Arial" w:cs="Arial" w:ascii="Calibri" w:hAnsi="Calibri"/>
          <w:i w:val="false"/>
          <w:iCs w:val="false"/>
          <w:color w:val="000000"/>
          <w:sz w:val="24"/>
          <w:szCs w:val="24"/>
          <w:shd w:fill="auto" w:val="clear"/>
        </w:rPr>
        <w:t xml:space="preserve"> procuração apresentada nos autos, </w:t>
      </w:r>
      <w:r>
        <w:rPr>
          <w:rFonts w:eastAsia="Arial" w:cs="Arial" w:ascii="Calibri" w:hAnsi="Calibri"/>
          <w:i w:val="false"/>
          <w:iCs w:val="false"/>
          <w:color w:val="000000"/>
          <w:sz w:val="24"/>
          <w:szCs w:val="24"/>
          <w:shd w:fill="auto" w:val="clear"/>
        </w:rPr>
      </w:r>
      <w:commentRangeEnd w:id="1"/>
      <w:r>
        <w:commentReference w:id="1"/>
      </w:r>
      <w:r>
        <w:rPr>
          <w:rFonts w:eastAsia="Arial" w:cs="Arial" w:ascii="Calibri" w:hAnsi="Calibri"/>
          <w:i w:val="false"/>
          <w:iCs w:val="false"/>
          <w:color w:val="000000"/>
          <w:sz w:val="24"/>
          <w:szCs w:val="24"/>
          <w:shd w:fill="auto" w:val="clear"/>
        </w:rPr>
        <w:t xml:space="preserve">tendo em vista o que consta no Processo nº .............................. e em observância às disposições da </w:t>
      </w:r>
      <w:hyperlink r:id="rId3">
        <w:r>
          <w:rPr>
            <w:rStyle w:val="LinkdaInternet"/>
            <w:rFonts w:eastAsia="Arial" w:cs="Arial" w:ascii="Calibri" w:hAnsi="Calibri"/>
            <w:i w:val="false"/>
            <w:iCs w:val="false"/>
            <w:color w:val="000000"/>
            <w:sz w:val="24"/>
            <w:szCs w:val="24"/>
            <w:shd w:fill="auto" w:val="clear"/>
          </w:rPr>
          <w:t>Lei nº 14.133, de 1º de abril de 2021</w:t>
        </w:r>
      </w:hyperlink>
      <w:r>
        <w:rPr>
          <w:rFonts w:eastAsia="Arial" w:cs="Arial" w:ascii="Calibri" w:hAnsi="Calibri"/>
          <w:i w:val="false"/>
          <w:iCs w:val="false"/>
          <w:color w:val="000000"/>
          <w:sz w:val="24"/>
          <w:szCs w:val="24"/>
          <w:shd w:fill="auto" w:val="clear"/>
        </w:rPr>
        <w:t>, e demais legislação aplicável, resolvem celebrar o presente Termo de Contrato, decorrente do Pregão Eletrônico n. .../..., mediante as cláusulas e condições a seguir enunciadas.</w:t>
      </w:r>
    </w:p>
    <w:p>
      <w:pPr>
        <w:pStyle w:val="Normal"/>
        <w:spacing w:lineRule="auto" w:line="240" w:before="0" w:after="0"/>
        <w:ind w:firstLine="1418"/>
        <w:contextualSpacing/>
        <w:jc w:val="both"/>
        <w:rPr>
          <w:rFonts w:ascii="Calibri" w:hAnsi="Calibri" w:eastAsia="Arial" w:cs="Arial"/>
          <w:sz w:val="24"/>
          <w:szCs w:val="24"/>
          <w:shd w:fill="auto" w:val="clear"/>
        </w:rPr>
      </w:pPr>
      <w:r>
        <w:rPr>
          <w:rFonts w:eastAsia="Arial" w:cs="Arial" w:ascii="Calibri" w:hAnsi="Calibri"/>
          <w:sz w:val="24"/>
          <w:szCs w:val="24"/>
          <w:shd w:fill="auto" w:val="clear"/>
        </w:rPr>
      </w:r>
    </w:p>
    <w:p>
      <w:pPr>
        <w:pStyle w:val="Nivel01"/>
        <w:numPr>
          <w:ilvl w:val="0"/>
          <w:numId w:val="116"/>
        </w:numPr>
        <w:spacing w:lineRule="auto" w:line="240" w:before="0" w:after="0"/>
        <w:contextualSpacing/>
        <w:rPr/>
      </w:pPr>
      <w:r>
        <w:rPr>
          <w:rFonts w:ascii="Calibri" w:hAnsi="Calibri"/>
          <w:i w:val="false"/>
          <w:iCs w:val="false"/>
          <w:color w:val="000000"/>
          <w:sz w:val="24"/>
          <w:szCs w:val="24"/>
          <w:shd w:fill="auto" w:val="clear"/>
        </w:rPr>
        <w:t>CLÁUSULA PRIMEIRA – OBJETO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I e II</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117"/>
        </w:numPr>
        <w:spacing w:lineRule="auto" w:line="240" w:before="0" w:after="0"/>
        <w:ind w:left="0" w:hanging="0"/>
        <w:contextualSpacing/>
        <w:rPr/>
      </w:pPr>
      <w:r>
        <w:rPr>
          <w:rFonts w:ascii="Calibri" w:hAnsi="Calibri"/>
          <w:i w:val="false"/>
          <w:iCs w:val="false"/>
          <w:color w:val="000000"/>
          <w:sz w:val="24"/>
          <w:szCs w:val="24"/>
          <w:shd w:fill="auto" w:val="clear"/>
        </w:rPr>
        <w:t xml:space="preserve">O objeto do presente instrumento é a </w:t>
      </w:r>
      <w:r>
        <w:rPr>
          <w:rStyle w:val="Fontepargpadro"/>
          <w:rFonts w:cs="Arial" w:ascii="Calibri" w:hAnsi="Calibri"/>
          <w:b w:val="false"/>
          <w:bCs w:val="false"/>
          <w:i w:val="false"/>
          <w:iCs w:val="false"/>
          <w:color w:val="000000"/>
          <w:sz w:val="24"/>
          <w:szCs w:val="24"/>
          <w:shd w:fill="auto" w:val="clear"/>
        </w:rPr>
        <w:t>a</w:t>
      </w:r>
      <w:r>
        <w:rPr>
          <w:rStyle w:val="Fontepargpadro"/>
          <w:rFonts w:eastAsia="Arial" w:cs="Arial" w:ascii="Calibri" w:hAnsi="Calibri"/>
          <w:b w:val="false"/>
          <w:bCs w:val="false"/>
          <w:i w:val="false"/>
          <w:iCs w:val="false"/>
          <w:color w:val="000000"/>
          <w:sz w:val="24"/>
          <w:szCs w:val="24"/>
          <w:shd w:fill="auto" w:val="clear"/>
        </w:rPr>
        <w:t>quisição de medicamentos especiais para assistência em saúde</w:t>
      </w:r>
      <w:r>
        <w:rPr>
          <w:rFonts w:ascii="Calibri" w:hAnsi="Calibri"/>
          <w:i w:val="false"/>
          <w:iCs w:val="false"/>
          <w:color w:val="000000"/>
          <w:sz w:val="24"/>
          <w:szCs w:val="24"/>
          <w:shd w:fill="auto" w:val="clear"/>
        </w:rPr>
        <w:t>, nas condições estabelecidas no Termo de Referência.</w:t>
      </w:r>
    </w:p>
    <w:p>
      <w:pPr>
        <w:pStyle w:val="Nivel2"/>
        <w:numPr>
          <w:ilvl w:val="1"/>
          <w:numId w:val="118"/>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Objeto da contratação:</w:t>
      </w:r>
    </w:p>
    <w:tbl>
      <w:tblPr>
        <w:tblW w:w="9498"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705"/>
        <w:gridCol w:w="2555"/>
        <w:gridCol w:w="1278"/>
        <w:gridCol w:w="1134"/>
        <w:gridCol w:w="1557"/>
        <w:gridCol w:w="1281"/>
        <w:gridCol w:w="987"/>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b/>
                <w:b/>
                <w:bCs/>
                <w:i w:val="false"/>
                <w:i w:val="false"/>
                <w:iCs w:val="false"/>
                <w:color w:val="000000"/>
                <w:sz w:val="24"/>
                <w:szCs w:val="24"/>
                <w:shd w:fill="auto" w:val="clear"/>
              </w:rPr>
            </w:pPr>
            <w:commentRangeStart w:id="2"/>
            <w:r>
              <w:rPr>
                <w:rFonts w:eastAsia="Arial" w:cs="Arial" w:ascii="Calibri" w:hAnsi="Calibri"/>
                <w:b/>
                <w:bCs/>
                <w:i w:val="false"/>
                <w:iCs w:val="false"/>
                <w:color w:val="000000" w:themeColor="text1"/>
                <w:sz w:val="24"/>
                <w:szCs w:val="24"/>
                <w:shd w:fill="auto" w:val="clear"/>
              </w:rPr>
              <w:t>ITEM</w:t>
            </w:r>
          </w:p>
          <w:p>
            <w:pPr>
              <w:pStyle w:val="Normal"/>
              <w:widowControl w:val="false"/>
              <w:spacing w:lineRule="auto" w:line="240" w:before="0" w:after="0"/>
              <w:contextualSpacing/>
              <w:jc w:val="center"/>
              <w:rPr>
                <w:rFonts w:ascii="Calibri" w:hAnsi="Calibri" w:eastAsia="Arial" w:cs="Arial"/>
                <w:b/>
                <w:b/>
                <w:bCs/>
                <w:i w:val="false"/>
                <w:i w:val="false"/>
                <w:iCs w:val="false"/>
                <w:color w:val="000000"/>
                <w:sz w:val="24"/>
                <w:szCs w:val="24"/>
                <w:shd w:fill="auto" w:val="clear"/>
              </w:rPr>
            </w:pPr>
            <w:r>
              <w:rPr>
                <w:rFonts w:eastAsia="Arial" w:cs="Arial" w:ascii="Calibri" w:hAnsi="Calibri"/>
                <w:b/>
                <w:bCs/>
                <w:i w:val="false"/>
                <w:iCs w:val="false"/>
                <w:color w:val="000000"/>
                <w:sz w:val="24"/>
                <w:szCs w:val="24"/>
                <w:shd w:fill="auto" w:val="clear"/>
              </w:rPr>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i w:val="false"/>
                <w:i w:val="false"/>
                <w:iCs w:val="false"/>
                <w:color w:val="000000"/>
                <w:sz w:val="24"/>
                <w:szCs w:val="24"/>
                <w:shd w:fill="auto" w:val="clear"/>
              </w:rPr>
            </w:pPr>
            <w:r>
              <w:rPr>
                <w:rFonts w:eastAsia="Arial" w:cs="Arial" w:ascii="Calibri" w:hAnsi="Calibri"/>
                <w:b/>
                <w:bCs/>
                <w:i w:val="false"/>
                <w:iCs w:val="false"/>
                <w:color w:val="000000" w:themeColor="text1"/>
                <w:sz w:val="24"/>
                <w:szCs w:val="24"/>
                <w:shd w:fill="auto" w:val="clear"/>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i w:val="false"/>
                <w:i w:val="false"/>
                <w:iCs w:val="false"/>
                <w:color w:val="000000"/>
                <w:sz w:val="24"/>
                <w:szCs w:val="24"/>
                <w:shd w:fill="auto" w:val="clear"/>
              </w:rPr>
            </w:pPr>
            <w:r>
              <w:rPr>
                <w:rFonts w:eastAsia="Arial" w:cs="Arial" w:ascii="Calibri" w:hAnsi="Calibri"/>
                <w:b/>
                <w:bCs/>
                <w:i w:val="false"/>
                <w:iCs w:val="false"/>
                <w:color w:val="000000" w:themeColor="text1"/>
                <w:sz w:val="24"/>
                <w:szCs w:val="24"/>
                <w:shd w:fill="auto" w:val="clear"/>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i w:val="false"/>
                <w:i w:val="false"/>
                <w:iCs w:val="false"/>
                <w:color w:val="000000"/>
                <w:sz w:val="24"/>
                <w:szCs w:val="24"/>
                <w:shd w:fill="auto" w:val="clear"/>
              </w:rPr>
            </w:pPr>
            <w:r>
              <w:rPr>
                <w:rFonts w:eastAsia="Arial" w:cs="Arial" w:ascii="Calibri" w:hAnsi="Calibri"/>
                <w:b/>
                <w:bCs/>
                <w:i w:val="false"/>
                <w:iCs w:val="false"/>
                <w:color w:val="000000" w:themeColor="text1"/>
                <w:sz w:val="24"/>
                <w:szCs w:val="24"/>
                <w:shd w:fill="auto" w:val="clear"/>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b/>
                <w:b/>
                <w:bCs/>
                <w:i w:val="false"/>
                <w:i w:val="false"/>
                <w:iCs w:val="false"/>
                <w:color w:val="000000"/>
                <w:sz w:val="24"/>
                <w:szCs w:val="24"/>
                <w:shd w:fill="auto" w:val="clear"/>
              </w:rPr>
            </w:pPr>
            <w:r>
              <w:rPr>
                <w:rFonts w:eastAsia="Arial" w:cs="Arial" w:ascii="Calibri" w:hAnsi="Calibri"/>
                <w:b/>
                <w:bCs/>
                <w:i w:val="false"/>
                <w:iCs w:val="false"/>
                <w:color w:val="000000"/>
                <w:sz w:val="24"/>
                <w:szCs w:val="24"/>
                <w:shd w:fill="auto" w:val="clear"/>
              </w:rPr>
              <w:t>QUANTIDADE</w:t>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b/>
                <w:b/>
                <w:bCs/>
                <w:i w:val="false"/>
                <w:i w:val="false"/>
                <w:iCs w:val="false"/>
                <w:color w:val="000000"/>
                <w:sz w:val="24"/>
                <w:szCs w:val="24"/>
                <w:shd w:fill="auto" w:val="clear"/>
              </w:rPr>
            </w:pPr>
            <w:r>
              <w:rPr>
                <w:rFonts w:eastAsia="Arial" w:cs="Arial" w:ascii="Calibri" w:hAnsi="Calibri"/>
                <w:b/>
                <w:bCs/>
                <w:i w:val="false"/>
                <w:iCs w:val="false"/>
                <w:color w:val="000000"/>
                <w:sz w:val="24"/>
                <w:szCs w:val="24"/>
                <w:shd w:fill="auto" w:val="clear"/>
              </w:rPr>
              <w:t>VALOR UNITÁRIO</w:t>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b/>
                <w:b/>
                <w:bCs/>
                <w:i w:val="false"/>
                <w:i w:val="false"/>
                <w:iCs w:val="false"/>
                <w:color w:val="000000"/>
                <w:sz w:val="24"/>
                <w:szCs w:val="24"/>
                <w:shd w:fill="auto" w:val="clear"/>
              </w:rPr>
            </w:pPr>
            <w:r>
              <w:rPr>
                <w:rFonts w:eastAsia="Arial" w:cs="Arial" w:ascii="Calibri" w:hAnsi="Calibri"/>
                <w:b/>
                <w:bCs/>
                <w:i w:val="false"/>
                <w:iCs w:val="false"/>
                <w:color w:val="000000"/>
                <w:sz w:val="24"/>
                <w:szCs w:val="24"/>
                <w:shd w:fill="auto" w:val="clear"/>
              </w:rPr>
              <w:t>VALOR TOTAL</w:t>
            </w:r>
            <w:commentRangeEnd w:id="2"/>
            <w:r>
              <w:commentReference w:id="2"/>
            </w:r>
            <w:r>
              <w:rPr>
                <w:rFonts w:eastAsia="Arial" w:cs="Arial" w:ascii="Calibri" w:hAnsi="Calibri"/>
                <w:b/>
                <w:bCs/>
                <w:i w:val="false"/>
                <w:iCs w:val="false"/>
                <w:color w:val="000000"/>
                <w:sz w:val="24"/>
                <w:szCs w:val="24"/>
                <w:shd w:fill="auto" w:val="clear"/>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b/>
                <w:b/>
                <w:bCs/>
                <w:i w:val="false"/>
                <w:i w:val="false"/>
                <w:iCs w:val="false"/>
                <w:color w:val="000000"/>
                <w:sz w:val="24"/>
                <w:szCs w:val="24"/>
                <w:shd w:fill="auto" w:val="clear"/>
              </w:rPr>
            </w:pPr>
            <w:r>
              <w:rPr>
                <w:rFonts w:eastAsia="Arial" w:cs="Arial" w:ascii="Calibri" w:hAnsi="Calibri"/>
                <w:b/>
                <w:bCs/>
                <w:i w:val="false"/>
                <w:iCs w:val="false"/>
                <w:color w:val="000000" w:themeColor="text1"/>
                <w:sz w:val="24"/>
                <w:szCs w:val="24"/>
                <w:shd w:fill="auto" w:val="clear"/>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b/>
                <w:b/>
                <w:bCs/>
                <w:i w:val="false"/>
                <w:i w:val="false"/>
                <w:iCs w:val="false"/>
                <w:color w:val="000000"/>
                <w:sz w:val="24"/>
                <w:szCs w:val="24"/>
                <w:shd w:fill="auto" w:val="clear"/>
              </w:rPr>
            </w:pPr>
            <w:r>
              <w:rPr>
                <w:rFonts w:eastAsia="Arial" w:cs="Arial" w:ascii="Calibri" w:hAnsi="Calibri"/>
                <w:b/>
                <w:bCs/>
                <w:i w:val="false"/>
                <w:iCs w:val="false"/>
                <w:color w:val="000000" w:themeColor="text1"/>
                <w:sz w:val="24"/>
                <w:szCs w:val="24"/>
                <w:shd w:fill="auto" w:val="clear"/>
              </w:rPr>
              <w:t>2</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b/>
                <w:b/>
                <w:bCs/>
                <w:i w:val="false"/>
                <w:i w:val="false"/>
                <w:iCs w:val="false"/>
                <w:color w:val="000000"/>
                <w:sz w:val="24"/>
                <w:szCs w:val="24"/>
                <w:shd w:fill="auto" w:val="clear"/>
              </w:rPr>
            </w:pPr>
            <w:r>
              <w:rPr>
                <w:rFonts w:eastAsia="Arial" w:cs="Arial" w:ascii="Calibri" w:hAnsi="Calibri"/>
                <w:b/>
                <w:bCs/>
                <w:i w:val="false"/>
                <w:iCs w:val="false"/>
                <w:color w:val="000000" w:themeColor="text1"/>
                <w:sz w:val="24"/>
                <w:szCs w:val="24"/>
                <w:shd w:fill="auto" w:val="clear"/>
              </w:rPr>
              <w:t>3</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b/>
                <w:b/>
                <w:bCs/>
                <w:i w:val="false"/>
                <w:i w:val="false"/>
                <w:iCs w:val="false"/>
                <w:color w:val="000000"/>
                <w:sz w:val="24"/>
                <w:szCs w:val="24"/>
                <w:shd w:fill="auto" w:val="clear"/>
              </w:rPr>
            </w:pPr>
            <w:r>
              <w:rPr>
                <w:rFonts w:eastAsia="Arial" w:cs="Arial" w:ascii="Calibri" w:hAnsi="Calibri"/>
                <w:b/>
                <w:bCs/>
                <w:i w:val="false"/>
                <w:iCs w:val="false"/>
                <w:color w:val="000000" w:themeColor="text1"/>
                <w:sz w:val="24"/>
                <w:szCs w:val="24"/>
                <w:shd w:fill="auto" w:val="clear"/>
              </w:rPr>
              <w:t>...</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jc w:val="center"/>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rPr>
                <w:rFonts w:ascii="Calibri" w:hAnsi="Calibri" w:eastAsia="Arial" w:cs="Arial"/>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r>
          </w:p>
        </w:tc>
      </w:tr>
    </w:tbl>
    <w:p>
      <w:pPr>
        <w:pStyle w:val="Nivel2"/>
        <w:numPr>
          <w:ilvl w:val="1"/>
          <w:numId w:val="119"/>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Vinculam esta contratação, independentemente de transcrição:</w:t>
      </w:r>
    </w:p>
    <w:p>
      <w:pPr>
        <w:pStyle w:val="Nivel3"/>
        <w:numPr>
          <w:ilvl w:val="2"/>
          <w:numId w:val="120"/>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O Termo de Referência;</w:t>
      </w:r>
    </w:p>
    <w:p>
      <w:pPr>
        <w:pStyle w:val="Nivel3"/>
        <w:numPr>
          <w:ilvl w:val="2"/>
          <w:numId w:val="121"/>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O Edital da Licitação;</w:t>
      </w:r>
    </w:p>
    <w:p>
      <w:pPr>
        <w:pStyle w:val="Nivel3"/>
        <w:numPr>
          <w:ilvl w:val="2"/>
          <w:numId w:val="122"/>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A Proposta do contratado;</w:t>
      </w:r>
    </w:p>
    <w:p>
      <w:pPr>
        <w:pStyle w:val="Nivel3"/>
        <w:numPr>
          <w:ilvl w:val="2"/>
          <w:numId w:val="123"/>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Eventuais anexos dos documentos supracitados.</w:t>
      </w:r>
    </w:p>
    <w:p>
      <w:pPr>
        <w:pStyle w:val="Nivel3"/>
        <w:numPr>
          <w:ilvl w:val="0"/>
          <w:numId w:val="0"/>
        </w:numPr>
        <w:spacing w:lineRule="auto" w:line="240" w:before="0" w:after="0"/>
        <w:ind w:left="3482"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124"/>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CLÁUSULA SEGUNDA – VIGÊNCIA E PRORROGAÇÃO</w:t>
      </w:r>
    </w:p>
    <w:p>
      <w:pPr>
        <w:pStyle w:val="Nvel2Red"/>
        <w:numPr>
          <w:ilvl w:val="1"/>
          <w:numId w:val="125"/>
        </w:numPr>
        <w:spacing w:lineRule="auto" w:line="240" w:before="0" w:after="0"/>
        <w:ind w:left="0" w:hanging="0"/>
        <w:contextualSpacing/>
        <w:rPr/>
      </w:pPr>
      <w:commentRangeStart w:id="3"/>
      <w:r>
        <w:rPr>
          <w:rFonts w:ascii="Calibri" w:hAnsi="Calibri"/>
          <w:i w:val="false"/>
          <w:iCs w:val="false"/>
          <w:color w:val="000000"/>
          <w:sz w:val="24"/>
          <w:szCs w:val="24"/>
          <w:shd w:fill="auto" w:val="clear"/>
        </w:rPr>
        <w:t xml:space="preserve">O prazo de vigência da contratação é de .............................. contados do(a) ............................., na forma do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"art105"</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artigo 105 da Lei n°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vel3R"/>
        <w:numPr>
          <w:ilvl w:val="2"/>
          <w:numId w:val="126"/>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commentReference w:id="3"/>
      </w:r>
      <w:r>
        <w:rPr>
          <w:rFonts w:ascii="Calibri" w:hAnsi="Calibri"/>
          <w:i w:val="false"/>
          <w:iCs w:val="false"/>
          <w:color w:val="000000"/>
          <w:sz w:val="24"/>
          <w:szCs w:val="24"/>
          <w:shd w:fill="auto" w:val="clear"/>
        </w:rPr>
      </w:r>
    </w:p>
    <w:p>
      <w:pPr>
        <w:pStyle w:val="Nvel3R"/>
        <w:numPr>
          <w:ilvl w:val="0"/>
          <w:numId w:val="0"/>
        </w:numPr>
        <w:spacing w:lineRule="auto" w:line="240" w:before="0" w:after="0"/>
        <w:ind w:left="3482"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127"/>
        </w:numPr>
        <w:spacing w:lineRule="auto" w:line="240" w:before="0" w:after="0"/>
        <w:ind w:left="0" w:hanging="0"/>
        <w:contextualSpacing/>
        <w:rPr/>
      </w:pPr>
      <w:r>
        <w:rPr>
          <w:rFonts w:ascii="Calibri" w:hAnsi="Calibri"/>
          <w:i w:val="false"/>
          <w:iCs w:val="false"/>
          <w:color w:val="000000"/>
          <w:sz w:val="24"/>
          <w:szCs w:val="24"/>
          <w:shd w:fill="auto" w:val="clear"/>
        </w:rPr>
        <w:t>CLÁUSULA TERCEIRA – MODELOS DE EXECUÇÃO E GESTÃO CONTRATUAIS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IV, VII e XVIII)</w:t>
      </w:r>
      <w:r>
        <w:rPr>
          <w:rStyle w:val="LinkdaInternet"/>
          <w:sz w:val="24"/>
          <w:i w:val="false"/>
          <w:shd w:fill="auto" w:val="clear"/>
          <w:szCs w:val="24"/>
          <w:iCs w:val="false"/>
          <w:rFonts w:ascii="Calibri" w:hAnsi="Calibri"/>
          <w:color w:val="000000"/>
        </w:rPr>
        <w:fldChar w:fldCharType="end"/>
      </w:r>
    </w:p>
    <w:p>
      <w:pPr>
        <w:pStyle w:val="Nivel2"/>
        <w:numPr>
          <w:ilvl w:val="1"/>
          <w:numId w:val="128"/>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O regime de execução contratual, os modelos de gestão e de execução, assim como os prazos e condições de conclusão, entrega, observação e recebimento do objeto constam no Termo de Referência, anexo a este Contrato.</w:t>
      </w:r>
    </w:p>
    <w:p>
      <w:pPr>
        <w:pStyle w:val="Nivel2"/>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129"/>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CLÁUSULA QUARTA – SUBCONTRATAÇÃO</w:t>
      </w:r>
    </w:p>
    <w:p>
      <w:pPr>
        <w:pStyle w:val="Nvel2Red"/>
        <w:numPr>
          <w:ilvl w:val="1"/>
          <w:numId w:val="130"/>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Não será admitida a subcontratação do objeto contratual.</w:t>
      </w:r>
    </w:p>
    <w:p>
      <w:pPr>
        <w:pStyle w:val="Nvel2Red"/>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131"/>
        </w:numPr>
        <w:spacing w:lineRule="auto" w:line="240" w:before="0" w:after="0"/>
        <w:ind w:left="0" w:hanging="0"/>
        <w:contextualSpacing/>
        <w:rPr/>
      </w:pPr>
      <w:r>
        <w:rPr>
          <w:rFonts w:ascii="Calibri" w:hAnsi="Calibri"/>
          <w:i w:val="false"/>
          <w:iCs w:val="false"/>
          <w:color w:val="000000"/>
          <w:sz w:val="24"/>
          <w:szCs w:val="24"/>
          <w:shd w:fill="auto" w:val="clear"/>
        </w:rPr>
        <w:t>CLÁUSULA QUINTA – PREÇO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V)</w:t>
      </w:r>
      <w:r>
        <w:rPr>
          <w:rStyle w:val="LinkdaInternet"/>
          <w:sz w:val="24"/>
          <w:i w:val="false"/>
          <w:shd w:fill="auto" w:val="clear"/>
          <w:szCs w:val="24"/>
          <w:iCs w:val="false"/>
          <w:rFonts w:ascii="Calibri" w:hAnsi="Calibri"/>
          <w:color w:val="000000"/>
        </w:rPr>
        <w:fldChar w:fldCharType="end"/>
      </w:r>
      <w:r>
        <w:rPr>
          <w:rFonts w:ascii="Calibri" w:hAnsi="Calibri"/>
          <w:sz w:val="24"/>
          <w:szCs w:val="24"/>
        </w:rPr>
        <w:commentReference w:id="4"/>
      </w:r>
    </w:p>
    <w:p>
      <w:pPr>
        <w:pStyle w:val="Nvel2Red"/>
        <w:numPr>
          <w:ilvl w:val="1"/>
          <w:numId w:val="132"/>
        </w:numPr>
        <w:spacing w:lineRule="auto" w:line="240" w:before="0" w:after="0"/>
        <w:ind w:left="0" w:hanging="0"/>
        <w:contextualSpacing/>
        <w:rPr>
          <w:rFonts w:ascii="Calibri" w:hAnsi="Calibri"/>
          <w:sz w:val="24"/>
          <w:szCs w:val="24"/>
        </w:rPr>
      </w:pPr>
      <w:commentRangeStart w:id="5"/>
      <w:r>
        <w:rPr>
          <w:rFonts w:ascii="Calibri" w:hAnsi="Calibri"/>
          <w:i w:val="false"/>
          <w:iCs w:val="false"/>
          <w:color w:val="000000"/>
          <w:sz w:val="24"/>
          <w:szCs w:val="24"/>
          <w:shd w:fill="auto" w:val="clear"/>
        </w:rPr>
        <w:t>O valor total da contratação é de R$.......... (.....)</w:t>
      </w:r>
      <w:commentRangeEnd w:id="5"/>
      <w:r>
        <w:commentReference w:id="5"/>
      </w:r>
      <w:r>
        <w:rPr>
          <w:rFonts w:ascii="Calibri" w:hAnsi="Calibri"/>
          <w:i w:val="false"/>
          <w:iCs w:val="false"/>
          <w:color w:val="000000"/>
          <w:sz w:val="24"/>
          <w:szCs w:val="24"/>
          <w:shd w:fill="auto" w:val="clear"/>
        </w:rPr>
      </w:r>
    </w:p>
    <w:p>
      <w:pPr>
        <w:pStyle w:val="Nivel2"/>
        <w:numPr>
          <w:ilvl w:val="1"/>
          <w:numId w:val="133"/>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4"/>
        </w:numPr>
        <w:spacing w:lineRule="auto" w:line="240" w:before="0" w:after="0"/>
        <w:ind w:left="0" w:hanging="0"/>
        <w:contextualSpacing/>
        <w:rPr>
          <w:rFonts w:ascii="Calibri" w:hAnsi="Calibri"/>
          <w:sz w:val="24"/>
          <w:szCs w:val="24"/>
        </w:rPr>
      </w:pPr>
      <w:commentRangeStart w:id="6"/>
      <w:r>
        <w:rPr>
          <w:rFonts w:ascii="Calibri" w:hAnsi="Calibri"/>
          <w:i w:val="false"/>
          <w:iCs w:val="false"/>
          <w:color w:val="000000"/>
          <w:sz w:val="24"/>
          <w:szCs w:val="24"/>
          <w:shd w:fill="auto" w:val="clear"/>
        </w:rPr>
        <w:t>O valor acima é meramente estimativo, de forma que os pagamentos devidos ao contratado dependerão dos quantitativos efetivamente fornecidos.</w:t>
      </w:r>
      <w:commentRangeEnd w:id="6"/>
      <w:r>
        <w:commentReference w:id="6"/>
      </w:r>
      <w:r>
        <w:rPr>
          <w:rFonts w:ascii="Calibri" w:hAnsi="Calibri"/>
          <w:i w:val="false"/>
          <w:iCs w:val="false"/>
          <w:color w:val="000000"/>
          <w:sz w:val="24"/>
          <w:szCs w:val="24"/>
          <w:shd w:fill="auto" w:val="clear"/>
        </w:rPr>
      </w:r>
    </w:p>
    <w:p>
      <w:pPr>
        <w:pStyle w:val="Nvel2Red"/>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135"/>
        </w:numPr>
        <w:spacing w:lineRule="auto" w:line="240" w:before="0" w:after="0"/>
        <w:ind w:left="0" w:hanging="0"/>
        <w:contextualSpacing/>
        <w:rPr/>
      </w:pPr>
      <w:r>
        <w:rPr>
          <w:rFonts w:ascii="Calibri" w:hAnsi="Calibri"/>
          <w:i w:val="false"/>
          <w:iCs w:val="false"/>
          <w:color w:val="000000"/>
          <w:sz w:val="24"/>
          <w:szCs w:val="24"/>
          <w:shd w:fill="auto" w:val="clear"/>
        </w:rPr>
        <w:t>CLÁUSULA SEXTA - PAGAMENTO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V e VI</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136"/>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 xml:space="preserve">O prazo para pagamento </w:t>
      </w:r>
      <w:r>
        <w:rPr>
          <w:rFonts w:ascii="Calibri" w:hAnsi="Calibri"/>
          <w:i w:val="false"/>
          <w:iCs w:val="false"/>
          <w:color w:val="000000"/>
          <w:sz w:val="24"/>
          <w:szCs w:val="24"/>
          <w:shd w:fill="auto" w:val="clear"/>
          <w:lang w:eastAsia="en-US"/>
        </w:rPr>
        <w:t>ao contratado</w:t>
      </w:r>
      <w:r>
        <w:rPr>
          <w:rFonts w:ascii="Calibri" w:hAnsi="Calibri"/>
          <w:i w:val="false"/>
          <w:iCs w:val="false"/>
          <w:color w:val="000000"/>
          <w:sz w:val="24"/>
          <w:szCs w:val="24"/>
          <w:shd w:fill="auto" w:val="clear"/>
        </w:rPr>
        <w:t xml:space="preserve"> e demais condições a ele referentes encontram-se definidos no Termo de Referência, anexo a este Contrato.</w:t>
      </w:r>
    </w:p>
    <w:p>
      <w:pPr>
        <w:pStyle w:val="Nivel2"/>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137"/>
        </w:numPr>
        <w:spacing w:lineRule="auto" w:line="240" w:before="0" w:after="0"/>
        <w:ind w:left="0" w:hanging="0"/>
        <w:contextualSpacing/>
        <w:rPr/>
      </w:pPr>
      <w:commentRangeStart w:id="7"/>
      <w:r>
        <w:rPr>
          <w:rFonts w:ascii="Calibri" w:hAnsi="Calibri"/>
          <w:i w:val="false"/>
          <w:iCs w:val="false"/>
          <w:color w:val="000000"/>
          <w:sz w:val="24"/>
          <w:szCs w:val="24"/>
          <w:shd w:fill="auto" w:val="clear"/>
        </w:rPr>
        <w:t>CLÁUSULA SÉTIMA - REAJUSTE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V)</w:t>
      </w:r>
      <w:r>
        <w:rPr>
          <w:rStyle w:val="LinkdaInternet"/>
          <w:sz w:val="24"/>
          <w:i w:val="false"/>
          <w:shd w:fill="auto" w:val="clear"/>
          <w:szCs w:val="24"/>
          <w:iCs w:val="false"/>
          <w:rFonts w:ascii="Calibri" w:hAnsi="Calibri"/>
          <w:color w:val="000000"/>
        </w:rPr>
        <w:fldChar w:fldCharType="end"/>
      </w:r>
      <w:commentRangeEnd w:id="7"/>
      <w:r>
        <w:commentReference w:id="7"/>
      </w:r>
      <w:r>
        <w:rPr>
          <w:rStyle w:val="LinkdaInternet"/>
          <w:rFonts w:ascii="Calibri" w:hAnsi="Calibri"/>
          <w:i w:val="false"/>
          <w:iCs w:val="false"/>
          <w:color w:val="000000"/>
          <w:sz w:val="24"/>
          <w:szCs w:val="24"/>
          <w:shd w:fill="auto" w:val="clear"/>
        </w:rPr>
      </w:r>
    </w:p>
    <w:p>
      <w:pPr>
        <w:pStyle w:val="Nivel2"/>
        <w:numPr>
          <w:ilvl w:val="1"/>
          <w:numId w:val="138"/>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Os preços inicialmente contratados são fixos e irreajustáveis no prazo de um ano contado da data do orçamento estimado, em __/__/__ (DD/MM/AAAA).</w:t>
      </w:r>
    </w:p>
    <w:p>
      <w:pPr>
        <w:pStyle w:val="Nivel2"/>
        <w:numPr>
          <w:ilvl w:val="1"/>
          <w:numId w:val="139"/>
        </w:numPr>
        <w:spacing w:lineRule="auto" w:line="240" w:before="0" w:after="0"/>
        <w:ind w:left="0" w:hanging="0"/>
        <w:contextualSpacing/>
        <w:rPr>
          <w:rFonts w:ascii="Calibri" w:hAnsi="Calibri"/>
          <w:sz w:val="24"/>
          <w:szCs w:val="24"/>
        </w:rPr>
      </w:pPr>
      <w:commentRangeStart w:id="8"/>
      <w:r>
        <w:rPr>
          <w:rFonts w:ascii="Calibri" w:hAnsi="Calibri"/>
          <w:i w:val="false"/>
          <w:iCs w:val="false"/>
          <w:color w:val="000000"/>
          <w:sz w:val="24"/>
          <w:szCs w:val="24"/>
          <w:shd w:fill="auto" w:val="clear"/>
        </w:rPr>
        <w:t xml:space="preserve">Após o interregno de um ano, e independentemente de pedido do </w:t>
      </w:r>
      <w:commentRangeStart w:id="9"/>
      <w:r>
        <w:rPr>
          <w:rFonts w:ascii="Calibri" w:hAnsi="Calibri"/>
          <w:i w:val="false"/>
          <w:iCs w:val="false"/>
          <w:color w:val="000000"/>
          <w:sz w:val="24"/>
          <w:szCs w:val="24"/>
          <w:shd w:fill="auto" w:val="clear"/>
        </w:rPr>
        <w:t>contratado</w:t>
      </w:r>
      <w:r>
        <w:rPr>
          <w:rFonts w:ascii="Calibri" w:hAnsi="Calibri"/>
          <w:i w:val="false"/>
          <w:iCs w:val="false"/>
          <w:color w:val="000000"/>
          <w:sz w:val="24"/>
          <w:szCs w:val="24"/>
          <w:shd w:fill="auto" w:val="clear"/>
        </w:rPr>
      </w:r>
      <w:commentRangeEnd w:id="9"/>
      <w:r>
        <w:commentReference w:id="9"/>
      </w:r>
      <w:r>
        <w:rPr>
          <w:rFonts w:ascii="Calibri" w:hAnsi="Calibri"/>
          <w:i w:val="false"/>
          <w:iCs w:val="false"/>
          <w:color w:val="000000"/>
          <w:sz w:val="24"/>
          <w:szCs w:val="24"/>
          <w:shd w:fill="auto" w:val="clear"/>
        </w:rPr>
        <w:t>, os preços iniciais serão reajustados, mediante a aplicação, pelo contratante, do índice ___________ (indicar o índice a ser adotado), exclusivamente para as obrigações iniciadas e concluídas após a ocorrência da anualidade</w:t>
      </w:r>
      <w:r>
        <w:rPr>
          <w:rFonts w:ascii="Calibri" w:hAnsi="Calibri"/>
          <w:i w:val="false"/>
          <w:iCs w:val="false"/>
          <w:color w:val="000000"/>
          <w:sz w:val="24"/>
          <w:szCs w:val="24"/>
          <w:shd w:fill="auto" w:val="clear"/>
        </w:rPr>
      </w:r>
      <w:commentRangeEnd w:id="8"/>
      <w:r>
        <w:commentReference w:id="8"/>
      </w:r>
      <w:r>
        <w:rPr>
          <w:rFonts w:ascii="Calibri" w:hAnsi="Calibri"/>
          <w:i w:val="false"/>
          <w:iCs w:val="false"/>
          <w:color w:val="000000"/>
          <w:sz w:val="24"/>
          <w:szCs w:val="24"/>
          <w:shd w:fill="auto" w:val="clear"/>
        </w:rPr>
        <w:t>.</w:t>
      </w:r>
    </w:p>
    <w:p>
      <w:pPr>
        <w:pStyle w:val="Nivel2"/>
        <w:numPr>
          <w:ilvl w:val="1"/>
          <w:numId w:val="140"/>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Nos reajustes subsequentes ao primeiro, o interregno mínimo de um ano será contado a partir dos efeitos financeiros do último reajuste.</w:t>
      </w:r>
    </w:p>
    <w:p>
      <w:pPr>
        <w:pStyle w:val="Nivel2"/>
        <w:numPr>
          <w:ilvl w:val="1"/>
          <w:numId w:val="141"/>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ascii="Calibri" w:hAnsi="Calibri"/>
          <w:i w:val="false"/>
          <w:iCs w:val="false"/>
          <w:color w:val="000000"/>
          <w:sz w:val="24"/>
          <w:szCs w:val="24"/>
          <w:shd w:fill="auto" w:val="clear"/>
        </w:rPr>
        <w:t xml:space="preserve"> </w:t>
      </w:r>
    </w:p>
    <w:p>
      <w:pPr>
        <w:pStyle w:val="Nivel2"/>
        <w:numPr>
          <w:ilvl w:val="1"/>
          <w:numId w:val="142"/>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Nas aferições finais, o(s) índice(s) utilizado(s) para reajuste será(ão), obrigatoriamente, o(s) definitivo(s).</w:t>
      </w:r>
    </w:p>
    <w:p>
      <w:pPr>
        <w:pStyle w:val="Nivel2"/>
        <w:numPr>
          <w:ilvl w:val="1"/>
          <w:numId w:val="143"/>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4"/>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 xml:space="preserve">Na ausência de previsão legal quanto ao índice substituto, as partes elegerão novo índice oficial, para reajustamento do preço do valor remanescente, por meio de termo aditivo. </w:t>
      </w:r>
    </w:p>
    <w:p>
      <w:pPr>
        <w:pStyle w:val="Nivel2"/>
        <w:numPr>
          <w:ilvl w:val="1"/>
          <w:numId w:val="145"/>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O reajuste será realizado por apostilamento.</w:t>
      </w:r>
    </w:p>
    <w:p>
      <w:pPr>
        <w:pStyle w:val="Nivel2"/>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146"/>
        </w:numPr>
        <w:spacing w:lineRule="auto" w:line="240" w:before="0" w:after="0"/>
        <w:ind w:left="0" w:hanging="0"/>
        <w:contextualSpacing/>
        <w:rPr/>
      </w:pPr>
      <w:r>
        <w:rPr>
          <w:rFonts w:ascii="Calibri" w:hAnsi="Calibri"/>
          <w:i w:val="false"/>
          <w:iCs w:val="false"/>
          <w:color w:val="000000"/>
          <w:sz w:val="24"/>
          <w:szCs w:val="24"/>
          <w:shd w:fill="auto" w:val="clear"/>
        </w:rPr>
        <w:t>CLÁUSULA OITAVA - OBRIGAÇÕES DO CONTRATANTE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X, XI e XIV</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147"/>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São obrigações do Contratante:</w:t>
      </w:r>
    </w:p>
    <w:p>
      <w:pPr>
        <w:pStyle w:val="Nivel2"/>
        <w:numPr>
          <w:ilvl w:val="1"/>
          <w:numId w:val="148"/>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Exigir o cumprimento de todas as obrigações assumidas pelo Contratado, de acordo com o contrato e seus anexos;</w:t>
      </w:r>
    </w:p>
    <w:p>
      <w:pPr>
        <w:pStyle w:val="Nivel2"/>
        <w:numPr>
          <w:ilvl w:val="1"/>
          <w:numId w:val="149"/>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Receber o objeto no prazo e condições estabelecidas no Termo de Referência;</w:t>
      </w:r>
    </w:p>
    <w:p>
      <w:pPr>
        <w:pStyle w:val="Nivel2"/>
        <w:numPr>
          <w:ilvl w:val="1"/>
          <w:numId w:val="150"/>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Notificar o Contratado, por escrito, sobre vícios, defeitos ou incorreções verificadas no objeto fornecido, para que seja por ele substituído, reparado ou corrigido, no total ou em parte, às suas expensas;</w:t>
      </w:r>
    </w:p>
    <w:p>
      <w:pPr>
        <w:pStyle w:val="Nivel2"/>
        <w:numPr>
          <w:ilvl w:val="1"/>
          <w:numId w:val="151"/>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Acompanhar e fiscalizar a execução do contrato e o cumprimento das obrigações pelo Contratado;</w:t>
      </w:r>
    </w:p>
    <w:p>
      <w:pPr>
        <w:pStyle w:val="Nivel2"/>
        <w:numPr>
          <w:ilvl w:val="1"/>
          <w:numId w:val="152"/>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Efetuar o pagamento ao Contratado do valor correspondente ao fornecimento do objeto, no prazo, forma e condições estabelecidos no presente Contrato e no Termo de Referência.</w:t>
      </w:r>
    </w:p>
    <w:p>
      <w:pPr>
        <w:pStyle w:val="Nivel2"/>
        <w:numPr>
          <w:ilvl w:val="1"/>
          <w:numId w:val="153"/>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 xml:space="preserve">Aplicar ao Contratado as sanções previstas na lei e neste Contrato; </w:t>
      </w:r>
    </w:p>
    <w:p>
      <w:pPr>
        <w:pStyle w:val="Nivel2"/>
        <w:numPr>
          <w:ilvl w:val="1"/>
          <w:numId w:val="154"/>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Cientificar o órgão de representação judicial da Advocacia-Geral da União para adoção das medidas cabíveis quando do descumprimento de obrigações pelo Contratado;</w:t>
      </w:r>
    </w:p>
    <w:p>
      <w:pPr>
        <w:pStyle w:val="Nivel2"/>
        <w:numPr>
          <w:ilvl w:val="1"/>
          <w:numId w:val="155"/>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56"/>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 xml:space="preserve"> </w:t>
      </w:r>
      <w:commentRangeStart w:id="10"/>
      <w:r>
        <w:rPr>
          <w:rFonts w:ascii="Calibri" w:hAnsi="Calibri"/>
          <w:i w:val="false"/>
          <w:iCs w:val="false"/>
          <w:color w:val="000000"/>
          <w:sz w:val="24"/>
          <w:szCs w:val="24"/>
          <w:shd w:fill="auto" w:val="clear"/>
        </w:rPr>
        <w:t xml:space="preserve">A Administração terá o prazo de XXXXXXX, a contar da data do protocolo do requerimento para decidir, admitida a prorrogação motivada, por igual período. </w:t>
      </w:r>
      <w:commentRangeEnd w:id="10"/>
      <w:r>
        <w:commentReference w:id="10"/>
      </w:r>
      <w:r>
        <w:rPr>
          <w:rFonts w:ascii="Calibri" w:hAnsi="Calibri"/>
          <w:i w:val="false"/>
          <w:iCs w:val="false"/>
          <w:color w:val="000000"/>
          <w:sz w:val="24"/>
          <w:szCs w:val="24"/>
          <w:shd w:fill="auto" w:val="clear"/>
        </w:rPr>
      </w:r>
    </w:p>
    <w:p>
      <w:pPr>
        <w:pStyle w:val="Nivel2"/>
        <w:numPr>
          <w:ilvl w:val="1"/>
          <w:numId w:val="157"/>
        </w:numPr>
        <w:spacing w:lineRule="auto" w:line="240" w:before="0" w:after="0"/>
        <w:ind w:left="0" w:hanging="0"/>
        <w:contextualSpacing/>
        <w:rPr>
          <w:rFonts w:ascii="Calibri" w:hAnsi="Calibri"/>
          <w:sz w:val="24"/>
          <w:szCs w:val="24"/>
        </w:rPr>
      </w:pPr>
      <w:commentRangeStart w:id="11"/>
      <w:r>
        <w:rPr>
          <w:rFonts w:ascii="Calibri" w:hAnsi="Calibri"/>
          <w:i w:val="false"/>
          <w:iCs w:val="false"/>
          <w:color w:val="000000"/>
          <w:sz w:val="24"/>
          <w:szCs w:val="24"/>
          <w:shd w:fill="auto" w:val="clear"/>
        </w:rPr>
        <w:t>Responder eventuais pedidos de reestabelecimento do equilíbrio econômico-financeiro feitos pelo contratado no prazo máximo de XXXXXX.</w:t>
      </w:r>
      <w:commentRangeEnd w:id="11"/>
      <w:r>
        <w:commentReference w:id="11"/>
      </w:r>
      <w:r>
        <w:rPr>
          <w:rFonts w:ascii="Calibri" w:hAnsi="Calibri"/>
          <w:i w:val="false"/>
          <w:iCs w:val="false"/>
          <w:color w:val="000000"/>
          <w:sz w:val="24"/>
          <w:szCs w:val="24"/>
          <w:shd w:fill="auto" w:val="clear"/>
        </w:rPr>
      </w:r>
    </w:p>
    <w:p>
      <w:pPr>
        <w:pStyle w:val="Nvel2Red"/>
        <w:numPr>
          <w:ilvl w:val="1"/>
          <w:numId w:val="158"/>
        </w:numPr>
        <w:spacing w:lineRule="auto" w:line="240" w:before="0" w:after="0"/>
        <w:ind w:left="0" w:hanging="0"/>
        <w:contextualSpacing/>
        <w:rPr>
          <w:rFonts w:ascii="Calibri" w:hAnsi="Calibri"/>
          <w:sz w:val="24"/>
          <w:szCs w:val="24"/>
        </w:rPr>
      </w:pPr>
      <w:commentRangeStart w:id="12"/>
      <w:r>
        <w:rPr>
          <w:rFonts w:ascii="Calibri" w:hAnsi="Calibri"/>
          <w:i w:val="false"/>
          <w:iCs w:val="false"/>
          <w:color w:val="000000"/>
          <w:sz w:val="24"/>
          <w:szCs w:val="24"/>
          <w:shd w:fill="auto" w:val="clear"/>
        </w:rPr>
        <w:t>Notificar os emitentes das garantias quanto ao início de processo administrativo para apuração de descumprimento de cláusulas contratuais.</w:t>
      </w:r>
      <w:commentRangeEnd w:id="12"/>
      <w:r>
        <w:commentReference w:id="12"/>
      </w:r>
      <w:r>
        <w:rPr>
          <w:rFonts w:ascii="Calibri" w:hAnsi="Calibri"/>
          <w:i w:val="false"/>
          <w:iCs w:val="false"/>
          <w:color w:val="000000"/>
          <w:sz w:val="24"/>
          <w:szCs w:val="24"/>
          <w:shd w:fill="auto" w:val="clear"/>
        </w:rPr>
      </w:r>
    </w:p>
    <w:p>
      <w:pPr>
        <w:pStyle w:val="Nivel2"/>
        <w:numPr>
          <w:ilvl w:val="1"/>
          <w:numId w:val="159"/>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160"/>
        </w:numPr>
        <w:spacing w:lineRule="auto" w:line="240" w:before="0" w:after="0"/>
        <w:ind w:left="0" w:hanging="0"/>
        <w:contextualSpacing/>
        <w:rPr/>
      </w:pPr>
      <w:commentRangeStart w:id="13"/>
      <w:r>
        <w:rPr>
          <w:rFonts w:ascii="Calibri" w:hAnsi="Calibri"/>
          <w:i w:val="false"/>
          <w:iCs w:val="false"/>
          <w:color w:val="000000"/>
          <w:sz w:val="24"/>
          <w:szCs w:val="24"/>
          <w:shd w:fill="auto" w:val="clear"/>
        </w:rPr>
        <w:t>CLÁUSULA NONA - OBRIGAÇÕES DO CONTRATADO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XIV, XVI e XVII)</w:t>
      </w:r>
      <w:r>
        <w:rPr>
          <w:rStyle w:val="LinkdaInternet"/>
          <w:sz w:val="24"/>
          <w:i w:val="false"/>
          <w:shd w:fill="auto" w:val="clear"/>
          <w:szCs w:val="24"/>
          <w:iCs w:val="false"/>
          <w:rFonts w:ascii="Calibri" w:hAnsi="Calibri"/>
          <w:color w:val="000000"/>
        </w:rPr>
        <w:fldChar w:fldCharType="end"/>
      </w:r>
      <w:commentRangeEnd w:id="13"/>
      <w:r>
        <w:commentReference w:id="13"/>
      </w:r>
      <w:r>
        <w:rPr>
          <w:rStyle w:val="LinkdaInternet"/>
          <w:rFonts w:ascii="Calibri" w:hAnsi="Calibri"/>
          <w:i w:val="false"/>
          <w:iCs w:val="false"/>
          <w:color w:val="000000"/>
          <w:sz w:val="24"/>
          <w:szCs w:val="24"/>
          <w:shd w:fill="auto" w:val="clear"/>
        </w:rPr>
      </w:r>
    </w:p>
    <w:p>
      <w:pPr>
        <w:pStyle w:val="Nivel2"/>
        <w:numPr>
          <w:ilvl w:val="1"/>
          <w:numId w:val="161"/>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ivel2"/>
        <w:numPr>
          <w:ilvl w:val="1"/>
          <w:numId w:val="162"/>
        </w:numPr>
        <w:spacing w:lineRule="auto" w:line="240" w:before="0" w:after="0"/>
        <w:ind w:left="0" w:hanging="0"/>
        <w:contextualSpacing/>
        <w:rPr/>
      </w:pPr>
      <w:r>
        <w:rPr>
          <w:rFonts w:ascii="Calibri" w:hAnsi="Calibri"/>
          <w:i w:val="false"/>
          <w:iCs w:val="false"/>
          <w:color w:val="000000"/>
          <w:sz w:val="24"/>
          <w:szCs w:val="24"/>
          <w:shd w:fill="auto" w:val="clear"/>
        </w:rPr>
        <w:t>Responsabilizar-se pelos vícios e danos decorrentes do objeto, de acordo com o Código de Defesa do Consumidor (</w:t>
      </w:r>
      <w:hyperlink r:id="rId4">
        <w:r>
          <w:rPr>
            <w:rStyle w:val="LinkdaInternet"/>
            <w:rFonts w:ascii="Calibri" w:hAnsi="Calibri"/>
            <w:i w:val="false"/>
            <w:iCs w:val="false"/>
            <w:color w:val="000000"/>
            <w:sz w:val="24"/>
            <w:szCs w:val="24"/>
            <w:shd w:fill="auto" w:val="clear"/>
          </w:rPr>
          <w:t>Lei nº 8.078, de 1990</w:t>
        </w:r>
      </w:hyperlink>
      <w:r>
        <w:rPr>
          <w:rFonts w:ascii="Calibri" w:hAnsi="Calibri"/>
          <w:i w:val="false"/>
          <w:iCs w:val="false"/>
          <w:color w:val="000000"/>
          <w:sz w:val="24"/>
          <w:szCs w:val="24"/>
          <w:shd w:fill="auto" w:val="clear"/>
        </w:rPr>
        <w:t>);</w:t>
      </w:r>
    </w:p>
    <w:p>
      <w:pPr>
        <w:pStyle w:val="Nivel2"/>
        <w:numPr>
          <w:ilvl w:val="1"/>
          <w:numId w:val="163"/>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Comunicar ao contratante, no prazo máximo de 24 (vinte e quatro) horas que antecede a data da entrega, os motivos que impossibilitem o cumprimento do prazo previsto, com a devida comprovação;</w:t>
      </w:r>
    </w:p>
    <w:p>
      <w:pPr>
        <w:pStyle w:val="Nivel2"/>
        <w:numPr>
          <w:ilvl w:val="1"/>
          <w:numId w:val="164"/>
        </w:numPr>
        <w:spacing w:lineRule="auto" w:line="240" w:before="0" w:after="0"/>
        <w:ind w:left="0" w:hanging="0"/>
        <w:contextualSpacing/>
        <w:rPr/>
      </w:pPr>
      <w:r>
        <w:rPr>
          <w:rFonts w:ascii="Calibri" w:hAnsi="Calibri"/>
          <w:i w:val="false"/>
          <w:iCs w:val="false"/>
          <w:color w:val="000000" w:themeColor="text1"/>
          <w:sz w:val="24"/>
          <w:szCs w:val="24"/>
          <w:shd w:fill="auto" w:val="clear"/>
        </w:rPr>
        <w:t xml:space="preserve">Atender </w:t>
      </w:r>
      <w:r>
        <w:rPr>
          <w:rFonts w:ascii="Calibri" w:hAnsi="Calibri"/>
          <w:i w:val="false"/>
          <w:iCs w:val="false"/>
          <w:color w:val="000000"/>
          <w:sz w:val="24"/>
          <w:szCs w:val="24"/>
          <w:shd w:fill="auto" w:val="clear"/>
        </w:rPr>
        <w:t>às</w:t>
      </w:r>
      <w:r>
        <w:rPr>
          <w:rFonts w:ascii="Calibri" w:hAnsi="Calibri"/>
          <w:i w:val="false"/>
          <w:iCs w:val="false"/>
          <w:color w:val="000000" w:themeColor="text1"/>
          <w:sz w:val="24"/>
          <w:szCs w:val="24"/>
          <w:shd w:fill="auto" w:val="clear"/>
        </w:rPr>
        <w:t xml:space="preserve"> determinações regulares emitidas pelo fiscal ou gestor do contrato ou autoridade superior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"art137"</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137, II,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themeColor="text1"/>
          <w:sz w:val="24"/>
          <w:szCs w:val="24"/>
          <w:shd w:fill="auto" w:val="clear"/>
        </w:rPr>
        <w:t xml:space="preserve">) e </w:t>
      </w:r>
      <w:r>
        <w:rPr>
          <w:rFonts w:ascii="Calibri" w:hAnsi="Calibri"/>
          <w:i w:val="false"/>
          <w:iCs w:val="false"/>
          <w:color w:val="000000"/>
          <w:sz w:val="24"/>
          <w:szCs w:val="24"/>
          <w:shd w:fill="auto" w:val="clear"/>
        </w:rPr>
        <w:t>prestar todo esclarecimento ou informação por eles solicitados</w:t>
      </w:r>
      <w:r>
        <w:rPr>
          <w:rFonts w:ascii="Calibri" w:hAnsi="Calibri"/>
          <w:i w:val="false"/>
          <w:iCs w:val="false"/>
          <w:color w:val="000000" w:themeColor="text1"/>
          <w:sz w:val="24"/>
          <w:szCs w:val="24"/>
          <w:shd w:fill="auto" w:val="clear"/>
        </w:rPr>
        <w:t>;</w:t>
      </w:r>
    </w:p>
    <w:p>
      <w:pPr>
        <w:pStyle w:val="Nivel2"/>
        <w:numPr>
          <w:ilvl w:val="1"/>
          <w:numId w:val="165"/>
        </w:numPr>
        <w:spacing w:lineRule="auto" w:line="240" w:before="0" w:after="0"/>
        <w:ind w:left="0" w:hanging="0"/>
        <w:contextualSpacing/>
        <w:rPr>
          <w:rFonts w:ascii="Calibri" w:hAnsi="Calibri"/>
          <w:sz w:val="24"/>
          <w:szCs w:val="24"/>
        </w:rPr>
      </w:pPr>
      <w:commentRangeStart w:id="14"/>
      <w:r>
        <w:rPr>
          <w:rFonts w:ascii="Calibri" w:hAnsi="Calibri"/>
          <w:i w:val="false"/>
          <w:iCs w:val="false"/>
          <w:color w:val="000000"/>
          <w:sz w:val="24"/>
          <w:szCs w:val="24"/>
          <w:shd w:fill="auto" w:val="clear"/>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4"/>
      <w:r>
        <w:commentReference w:id="14"/>
      </w:r>
      <w:r>
        <w:rPr>
          <w:rFonts w:ascii="Calibri" w:hAnsi="Calibri"/>
          <w:i w:val="false"/>
          <w:iCs w:val="false"/>
          <w:color w:val="000000"/>
          <w:sz w:val="24"/>
          <w:szCs w:val="24"/>
          <w:shd w:fill="auto" w:val="clear"/>
        </w:rPr>
      </w:r>
    </w:p>
    <w:p>
      <w:pPr>
        <w:pStyle w:val="Nivel2"/>
        <w:numPr>
          <w:ilvl w:val="1"/>
          <w:numId w:val="166"/>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67"/>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68"/>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69"/>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Comunicar ao Fiscal do contrato, no prazo de 24 (vinte e quatro) horas, qualquer ocorrência anormal ou acidente que se verifique no local da execução do objeto contratual.</w:t>
      </w:r>
    </w:p>
    <w:p>
      <w:pPr>
        <w:pStyle w:val="Nivel2"/>
        <w:numPr>
          <w:ilvl w:val="1"/>
          <w:numId w:val="170"/>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Paralisar, por determinação do contratante, qualquer atividade que não esteja sendo executada de acordo com a boa técnica ou que ponha em risco a segurança de pessoas ou bens de terceiros.</w:t>
      </w:r>
    </w:p>
    <w:p>
      <w:pPr>
        <w:pStyle w:val="Nivel2"/>
        <w:numPr>
          <w:ilvl w:val="1"/>
          <w:numId w:val="171"/>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 xml:space="preserve">Manter durante toda a vigência do contrato, em compatibilidade com as obrigações assumidas, todas as condições exigidas para habilitação na licitação; </w:t>
      </w:r>
    </w:p>
    <w:p>
      <w:pPr>
        <w:pStyle w:val="Nivel2"/>
        <w:numPr>
          <w:ilvl w:val="1"/>
          <w:numId w:val="172"/>
        </w:numPr>
        <w:spacing w:lineRule="auto" w:line="240" w:before="0" w:after="0"/>
        <w:ind w:left="0" w:hanging="0"/>
        <w:contextualSpacing/>
        <w:rPr/>
      </w:pPr>
      <w:r>
        <w:rPr>
          <w:rFonts w:ascii="Calibri" w:hAnsi="Calibri"/>
          <w:i w:val="false"/>
          <w:iCs w:val="false"/>
          <w:color w:val="000000"/>
          <w:sz w:val="24"/>
          <w:szCs w:val="24"/>
          <w:shd w:fill="auto" w:val="clea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"art116"</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116,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173"/>
        </w:numPr>
        <w:spacing w:lineRule="auto" w:line="240" w:before="0" w:after="0"/>
        <w:ind w:left="0" w:hanging="0"/>
        <w:contextualSpacing/>
        <w:rPr/>
      </w:pPr>
      <w:r>
        <w:rPr>
          <w:rFonts w:ascii="Calibri" w:hAnsi="Calibri"/>
          <w:i w:val="false"/>
          <w:iCs w:val="false"/>
          <w:color w:val="000000"/>
          <w:sz w:val="24"/>
          <w:szCs w:val="24"/>
          <w:shd w:fill="auto" w:val="clear"/>
        </w:rPr>
        <w:t>Comprovar a reserva de cargos a que se refere a cláusula acima, no prazo fixado pelo fiscal do contrato, com a indicação dos empregados que preencheram as referidas vagas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"art116"</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116, parágrafo único,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174"/>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 xml:space="preserve">  </w:t>
      </w:r>
      <w:r>
        <w:rPr>
          <w:rFonts w:ascii="Calibri" w:hAnsi="Calibri"/>
          <w:i w:val="false"/>
          <w:iCs w:val="false"/>
          <w:color w:val="000000"/>
          <w:sz w:val="24"/>
          <w:szCs w:val="24"/>
          <w:shd w:fill="auto" w:val="clear"/>
        </w:rPr>
        <w:t xml:space="preserve">Guardar sigilo sobre todas as informações obtidas em decorrência do cumprimento do contrato; </w:t>
      </w:r>
    </w:p>
    <w:p>
      <w:pPr>
        <w:pStyle w:val="Nivel2"/>
        <w:numPr>
          <w:ilvl w:val="1"/>
          <w:numId w:val="175"/>
        </w:numPr>
        <w:spacing w:lineRule="auto" w:line="240" w:before="0" w:after="0"/>
        <w:ind w:left="0" w:hanging="0"/>
        <w:contextualSpacing/>
        <w:rPr/>
      </w:pPr>
      <w:r>
        <w:rPr>
          <w:rFonts w:ascii="Calibri" w:hAnsi="Calibri"/>
          <w:i w:val="false"/>
          <w:iCs w:val="false"/>
          <w:color w:val="000000"/>
          <w:sz w:val="24"/>
          <w:szCs w:val="24"/>
          <w:shd w:fill="auto" w:val="clea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"art124"</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124, II, d, da Lei nº 14.133, de 2021.</w:t>
      </w:r>
      <w:r>
        <w:rPr>
          <w:rStyle w:val="LinkdaInternet"/>
          <w:sz w:val="24"/>
          <w:i w:val="false"/>
          <w:shd w:fill="auto" w:val="clear"/>
          <w:szCs w:val="24"/>
          <w:iCs w:val="false"/>
          <w:rFonts w:ascii="Calibri" w:hAnsi="Calibri"/>
          <w:color w:val="000000"/>
        </w:rPr>
        <w:fldChar w:fldCharType="end"/>
      </w:r>
    </w:p>
    <w:p>
      <w:pPr>
        <w:pStyle w:val="Nivel2"/>
        <w:numPr>
          <w:ilvl w:val="1"/>
          <w:numId w:val="176"/>
        </w:numPr>
        <w:spacing w:lineRule="auto" w:line="240" w:before="0" w:after="0"/>
        <w:ind w:left="0" w:hanging="0"/>
        <w:contextualSpacing/>
        <w:rPr>
          <w:rFonts w:ascii="Calibri" w:hAnsi="Calibri"/>
          <w:sz w:val="24"/>
          <w:szCs w:val="24"/>
        </w:rPr>
      </w:pPr>
      <w:commentRangeStart w:id="15"/>
      <w:r>
        <w:rPr>
          <w:rFonts w:ascii="Calibri" w:hAnsi="Calibri"/>
          <w:i w:val="false"/>
          <w:iCs w:val="false"/>
          <w:color w:val="000000"/>
          <w:sz w:val="24"/>
          <w:szCs w:val="24"/>
          <w:shd w:fill="auto" w:val="clear"/>
        </w:rPr>
        <w:t>Cumprir, além dos postulados legais vigentes de âmbito federal, estadual ou municipal, as normas de segurança do contratante;</w:t>
      </w:r>
      <w:bookmarkStart w:id="0" w:name="_Ref118293001"/>
      <w:bookmarkEnd w:id="0"/>
    </w:p>
    <w:p>
      <w:pPr>
        <w:pStyle w:val="Nvel2Red"/>
        <w:numPr>
          <w:ilvl w:val="1"/>
          <w:numId w:val="177"/>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Submeter previamente, por escrito, ao contratante, para análise e aprovação, quaisquer mudanças nos métodos executivos que fujam às especificações do memorial descritivo ou instrumento congênere.</w:t>
      </w:r>
    </w:p>
    <w:p>
      <w:pPr>
        <w:pStyle w:val="Nvel2Red"/>
        <w:numPr>
          <w:ilvl w:val="1"/>
          <w:numId w:val="178"/>
        </w:numPr>
        <w:spacing w:lineRule="auto" w:line="240" w:before="0" w:after="0"/>
        <w:ind w:left="0" w:hanging="0"/>
        <w:contextualSpacing/>
        <w:rPr>
          <w:rFonts w:ascii="Calibri" w:hAnsi="Calibri"/>
          <w:sz w:val="24"/>
          <w:szCs w:val="24"/>
        </w:rPr>
      </w:pPr>
      <w:bookmarkStart w:id="1" w:name="_Ref118293030"/>
      <w:r>
        <w:rPr>
          <w:rFonts w:ascii="Calibri" w:hAnsi="Calibri"/>
          <w:i w:val="false"/>
          <w:iCs w:val="false"/>
          <w:color w:val="000000"/>
          <w:sz w:val="24"/>
          <w:szCs w:val="24"/>
          <w:shd w:fill="auto" w:val="clear"/>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pPr>
        <w:pStyle w:val="Nvel2Red"/>
        <w:numPr>
          <w:ilvl w:val="0"/>
          <w:numId w:val="0"/>
        </w:numPr>
        <w:spacing w:lineRule="auto" w:line="240" w:before="0" w:after="0"/>
        <w:ind w:left="999" w:hanging="0"/>
        <w:contextualSpacing/>
        <w:rPr>
          <w:rFonts w:ascii="Calibri" w:hAnsi="Calibri"/>
          <w:sz w:val="24"/>
          <w:szCs w:val="24"/>
        </w:rPr>
      </w:pPr>
      <w:commentRangeEnd w:id="15"/>
      <w:r>
        <w:commentReference w:id="15"/>
      </w:r>
      <w:r>
        <w:rPr>
          <w:rFonts w:ascii="Calibri" w:hAnsi="Calibri"/>
          <w:sz w:val="24"/>
          <w:szCs w:val="24"/>
        </w:rPr>
      </w:r>
    </w:p>
    <w:p>
      <w:pPr>
        <w:pStyle w:val="Nivel01"/>
        <w:numPr>
          <w:ilvl w:val="0"/>
          <w:numId w:val="179"/>
        </w:numPr>
        <w:spacing w:lineRule="auto" w:line="240" w:before="0" w:after="0"/>
        <w:ind w:left="0" w:hanging="0"/>
        <w:contextualSpacing/>
        <w:rPr/>
      </w:pPr>
      <w:r>
        <w:rPr>
          <w:rFonts w:ascii="Calibri" w:hAnsi="Calibri"/>
          <w:i w:val="false"/>
          <w:iCs w:val="false"/>
          <w:color w:val="000000"/>
          <w:sz w:val="24"/>
          <w:szCs w:val="24"/>
          <w:shd w:fill="auto" w:val="clear"/>
        </w:rPr>
        <w:t>CLÁUSULA DÉCIMA– GARANTIA DE EXECUÇÃO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XII</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vel2Red"/>
        <w:numPr>
          <w:ilvl w:val="1"/>
          <w:numId w:val="180"/>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Não haverá exigência de garantia contratual da execução.</w:t>
      </w:r>
    </w:p>
    <w:p>
      <w:pPr>
        <w:pStyle w:val="Nvel2Red"/>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vel2Red"/>
        <w:numPr>
          <w:ilvl w:val="0"/>
          <w:numId w:val="181"/>
        </w:numPr>
        <w:spacing w:lineRule="auto" w:line="240" w:before="0" w:after="0"/>
        <w:ind w:left="0" w:hanging="0"/>
        <w:contextualSpacing/>
        <w:rPr/>
      </w:pPr>
      <w:r>
        <w:rPr>
          <w:rFonts w:ascii="Calibri" w:hAnsi="Calibri"/>
          <w:i w:val="false"/>
          <w:iCs w:val="false"/>
          <w:color w:val="000000"/>
          <w:sz w:val="24"/>
          <w:szCs w:val="24"/>
          <w:shd w:fill="auto" w:val="clear"/>
        </w:rPr>
        <w:t xml:space="preserve"> </w:t>
      </w:r>
      <w:r>
        <w:rPr>
          <w:rFonts w:ascii="Calibri" w:hAnsi="Calibri"/>
          <w:b/>
          <w:bCs/>
          <w:i w:val="false"/>
          <w:iCs w:val="false"/>
          <w:color w:val="000000"/>
          <w:sz w:val="24"/>
          <w:szCs w:val="24"/>
          <w:shd w:fill="auto" w:val="clear"/>
        </w:rPr>
        <w:t xml:space="preserve">CLÁUSULA DÉCIMA PRIMEIRA – INFRAÇÕES E SANÇÕES ADMINISTRATIVAS </w:t>
      </w:r>
      <w:r>
        <w:rPr>
          <w:rFonts w:ascii="Calibri" w:hAnsi="Calibri"/>
          <w:i w:val="false"/>
          <w:iCs w:val="false"/>
          <w:color w:val="000000"/>
          <w:sz w:val="24"/>
          <w:szCs w:val="24"/>
          <w:shd w:fill="auto" w:val="clear"/>
        </w:rPr>
        <w:t>(</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XIV</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182"/>
        </w:numPr>
        <w:spacing w:lineRule="auto" w:line="240" w:before="0" w:after="0"/>
        <w:ind w:left="0" w:hanging="0"/>
        <w:contextualSpacing/>
        <w:rPr/>
      </w:pPr>
      <w:r>
        <w:rPr>
          <w:rFonts w:ascii="Calibri" w:hAnsi="Calibri"/>
          <w:i w:val="false"/>
          <w:iCs w:val="false"/>
          <w:color w:val="000000"/>
          <w:sz w:val="24"/>
          <w:szCs w:val="24"/>
          <w:shd w:fill="auto" w:val="clear"/>
        </w:rPr>
        <w:t xml:space="preserve">Comete infração administrativa, nos termos da </w:t>
      </w:r>
      <w:hyperlink r:id="rId5">
        <w:r>
          <w:rPr>
            <w:rStyle w:val="LinkdaInternet"/>
            <w:rFonts w:ascii="Calibri" w:hAnsi="Calibri"/>
            <w:i w:val="false"/>
            <w:iCs w:val="false"/>
            <w:color w:val="000000"/>
            <w:sz w:val="24"/>
            <w:szCs w:val="24"/>
            <w:shd w:fill="auto" w:val="clear"/>
          </w:rPr>
          <w:t>Lei nº 14.133, de 2021</w:t>
        </w:r>
      </w:hyperlink>
      <w:r>
        <w:rPr>
          <w:rFonts w:ascii="Calibri" w:hAnsi="Calibri"/>
          <w:i w:val="false"/>
          <w:iCs w:val="false"/>
          <w:color w:val="000000"/>
          <w:sz w:val="24"/>
          <w:szCs w:val="24"/>
          <w:shd w:fill="auto" w:val="clear"/>
        </w:rPr>
        <w:t>, o contratado que:</w:t>
      </w:r>
    </w:p>
    <w:p>
      <w:pPr>
        <w:pStyle w:val="Normal"/>
        <w:numPr>
          <w:ilvl w:val="2"/>
          <w:numId w:val="5"/>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der causa à inexecução parcial do contrato;</w:t>
      </w:r>
    </w:p>
    <w:p>
      <w:pPr>
        <w:pStyle w:val="Normal"/>
        <w:numPr>
          <w:ilvl w:val="2"/>
          <w:numId w:val="5"/>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der causa à inexecução total do contrato;</w:t>
      </w:r>
    </w:p>
    <w:p>
      <w:pPr>
        <w:pStyle w:val="Normal"/>
        <w:numPr>
          <w:ilvl w:val="2"/>
          <w:numId w:val="5"/>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ensejar o retardamento da execução ou da entrega do objeto da contratação sem motivo justificado;</w:t>
      </w:r>
    </w:p>
    <w:p>
      <w:pPr>
        <w:pStyle w:val="Normal"/>
        <w:numPr>
          <w:ilvl w:val="2"/>
          <w:numId w:val="5"/>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apresentar documentação falsa ou prestar declaração falsa durante a execução do contrato;</w:t>
      </w:r>
    </w:p>
    <w:p>
      <w:pPr>
        <w:pStyle w:val="Normal"/>
        <w:numPr>
          <w:ilvl w:val="2"/>
          <w:numId w:val="5"/>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praticar ato fraudulento na execução do contrato;</w:t>
      </w:r>
    </w:p>
    <w:p>
      <w:pPr>
        <w:pStyle w:val="Normal"/>
        <w:numPr>
          <w:ilvl w:val="2"/>
          <w:numId w:val="5"/>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comportar-se de modo inidôneo ou cometer fraude de qualquer natureza;</w:t>
      </w:r>
    </w:p>
    <w:p>
      <w:pPr>
        <w:pStyle w:val="Normal"/>
        <w:numPr>
          <w:ilvl w:val="2"/>
          <w:numId w:val="5"/>
        </w:numPr>
        <w:suppressAutoHyphens w:val="true"/>
        <w:spacing w:lineRule="auto" w:line="240" w:before="0" w:after="0"/>
        <w:ind w:left="284" w:hanging="0"/>
        <w:contextualSpacing/>
        <w:jc w:val="both"/>
        <w:rPr/>
      </w:pPr>
      <w:r>
        <w:rPr>
          <w:rFonts w:eastAsia="Arial" w:cs="Arial" w:ascii="Calibri" w:hAnsi="Calibri"/>
          <w:i w:val="false"/>
          <w:iCs w:val="false"/>
          <w:color w:val="000000"/>
          <w:sz w:val="24"/>
          <w:szCs w:val="24"/>
          <w:shd w:fill="auto" w:val="clear"/>
        </w:rPr>
        <w:t xml:space="preserve">praticar ato lesivo previsto no </w:t>
      </w:r>
      <w:r>
        <w:fldChar w:fldCharType="begin"/>
      </w:r>
      <w:r>
        <w:rPr>
          <w:rStyle w:val="LinkdaInternet"/>
          <w:sz w:val="24"/>
          <w:i w:val="false"/>
          <w:shd w:fill="auto" w:val="clear"/>
          <w:szCs w:val="24"/>
          <w:iCs w:val="false"/>
          <w:rFonts w:eastAsia="Arial" w:cs="Arial" w:ascii="Calibri" w:hAnsi="Calibri"/>
          <w:color w:val="000000"/>
        </w:rPr>
        <w:instrText> HYPERLINK "https://www.planalto.gov.br/ccivil_03/_ato2011-2014/2013/lei/l12846.htm" \l "art5"</w:instrText>
      </w:r>
      <w:r>
        <w:rPr>
          <w:rStyle w:val="LinkdaInternet"/>
          <w:sz w:val="24"/>
          <w:i w:val="false"/>
          <w:shd w:fill="auto" w:val="clear"/>
          <w:szCs w:val="24"/>
          <w:iCs w:val="false"/>
          <w:rFonts w:eastAsia="Arial" w:cs="Arial" w:ascii="Calibri" w:hAnsi="Calibri"/>
          <w:color w:val="000000"/>
        </w:rPr>
        <w:fldChar w:fldCharType="separate"/>
      </w:r>
      <w:r>
        <w:rPr>
          <w:rStyle w:val="LinkdaInternet"/>
          <w:rFonts w:eastAsia="Arial" w:cs="Arial" w:ascii="Calibri" w:hAnsi="Calibri"/>
          <w:i w:val="false"/>
          <w:iCs w:val="false"/>
          <w:color w:val="000000"/>
          <w:sz w:val="24"/>
          <w:szCs w:val="24"/>
          <w:shd w:fill="auto" w:val="clear"/>
        </w:rPr>
        <w:t>art. 5º da Lei nº 12.846, de 1º de agosto de 2013</w:t>
      </w:r>
      <w:r>
        <w:rPr>
          <w:rStyle w:val="LinkdaInternet"/>
          <w:sz w:val="24"/>
          <w:i w:val="false"/>
          <w:shd w:fill="auto" w:val="clear"/>
          <w:szCs w:val="24"/>
          <w:iCs w:val="false"/>
          <w:rFonts w:eastAsia="Arial" w:cs="Arial" w:ascii="Calibri" w:hAnsi="Calibri"/>
          <w:color w:val="000000"/>
        </w:rPr>
        <w:fldChar w:fldCharType="end"/>
      </w:r>
      <w:r>
        <w:rPr>
          <w:rFonts w:eastAsia="Arial" w:cs="Arial" w:ascii="Calibri" w:hAnsi="Calibri"/>
          <w:i w:val="false"/>
          <w:iCs w:val="false"/>
          <w:color w:val="000000"/>
          <w:sz w:val="24"/>
          <w:szCs w:val="24"/>
          <w:shd w:fill="auto" w:val="clear"/>
        </w:rPr>
        <w:t>.</w:t>
      </w:r>
    </w:p>
    <w:p>
      <w:pPr>
        <w:pStyle w:val="Nivel2"/>
        <w:numPr>
          <w:ilvl w:val="1"/>
          <w:numId w:val="183"/>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Serão aplicadas ao contratado que incorrer nas infrações acima descritas as seguintes sanções:</w:t>
      </w:r>
    </w:p>
    <w:p>
      <w:pPr>
        <w:pStyle w:val="ListParagraph"/>
        <w:numPr>
          <w:ilvl w:val="0"/>
          <w:numId w:val="6"/>
        </w:numPr>
        <w:suppressAutoHyphens w:val="true"/>
        <w:spacing w:lineRule="auto" w:line="240" w:before="0" w:after="0"/>
        <w:ind w:left="284" w:hanging="0"/>
        <w:contextualSpacing/>
        <w:jc w:val="both"/>
        <w:rPr/>
      </w:pPr>
      <w:r>
        <w:rPr>
          <w:rFonts w:eastAsia="Arial" w:cs="Arial" w:ascii="Calibri" w:hAnsi="Calibri"/>
          <w:b/>
          <w:bCs/>
          <w:i w:val="false"/>
          <w:iCs w:val="false"/>
          <w:color w:val="000000"/>
          <w:sz w:val="24"/>
          <w:szCs w:val="24"/>
          <w:shd w:fill="auto" w:val="clear"/>
        </w:rPr>
        <w:t>Advertência</w:t>
      </w:r>
      <w:r>
        <w:rPr>
          <w:rFonts w:eastAsia="Arial" w:cs="Arial" w:ascii="Calibri" w:hAnsi="Calibri"/>
          <w:i w:val="false"/>
          <w:iCs w:val="false"/>
          <w:color w:val="000000"/>
          <w:sz w:val="24"/>
          <w:szCs w:val="24"/>
          <w:shd w:fill="auto" w:val="clear"/>
        </w:rPr>
        <w:t>, quando o contratado der causa à inexecução parcial do contrato, sempre que não se justificar a imposição de penalidade mais grave (</w:t>
      </w:r>
      <w:r>
        <w:fldChar w:fldCharType="begin"/>
      </w:r>
      <w:r>
        <w:rPr>
          <w:rStyle w:val="LinkdaInternet"/>
          <w:sz w:val="24"/>
          <w:i w:val="false"/>
          <w:shd w:fill="auto" w:val="clear"/>
          <w:szCs w:val="24"/>
          <w:iCs w:val="false"/>
          <w:rFonts w:eastAsia="Arial" w:cs="Arial" w:ascii="Calibri" w:hAnsi="Calibri"/>
          <w:color w:val="000000"/>
        </w:rPr>
        <w:instrText> HYPERLINK "http://www.planalto.gov.br/ccivil_03/_ato2019-2022/2021/lei/L14133.htm" \l "art156§2"</w:instrText>
      </w:r>
      <w:r>
        <w:rPr>
          <w:rStyle w:val="LinkdaInternet"/>
          <w:sz w:val="24"/>
          <w:i w:val="false"/>
          <w:shd w:fill="auto" w:val="clear"/>
          <w:szCs w:val="24"/>
          <w:iCs w:val="false"/>
          <w:rFonts w:eastAsia="Arial" w:cs="Arial" w:ascii="Calibri" w:hAnsi="Calibri"/>
          <w:color w:val="000000"/>
        </w:rPr>
        <w:fldChar w:fldCharType="separate"/>
      </w:r>
      <w:r>
        <w:rPr>
          <w:rStyle w:val="LinkdaInternet"/>
          <w:rFonts w:eastAsia="Arial" w:cs="Arial" w:ascii="Calibri" w:hAnsi="Calibri"/>
          <w:i w:val="false"/>
          <w:iCs w:val="false"/>
          <w:color w:val="000000"/>
          <w:sz w:val="24"/>
          <w:szCs w:val="24"/>
          <w:shd w:fill="auto" w:val="clear"/>
        </w:rPr>
        <w:t xml:space="preserve">art. 156, §2º, da </w:t>
      </w:r>
      <w:r>
        <w:rPr>
          <w:rStyle w:val="LinkdaInternet"/>
          <w:sz w:val="24"/>
          <w:i w:val="false"/>
          <w:shd w:fill="auto" w:val="clear"/>
          <w:szCs w:val="24"/>
          <w:iCs w:val="false"/>
          <w:rFonts w:eastAsia="Arial" w:cs="Arial" w:ascii="Calibri" w:hAnsi="Calibri"/>
          <w:color w:val="000000"/>
        </w:rPr>
        <w:fldChar w:fldCharType="end"/>
      </w:r>
      <w:bookmarkStart w:id="2" w:name="_Hlk114504069"/>
      <w:r>
        <w:rPr>
          <w:rStyle w:val="LinkdaInternet"/>
          <w:rFonts w:eastAsia="Arial" w:cs="Arial" w:ascii="Calibri" w:hAnsi="Calibri"/>
          <w:i w:val="false"/>
          <w:iCs w:val="false"/>
          <w:color w:val="000000"/>
          <w:sz w:val="24"/>
          <w:szCs w:val="24"/>
          <w:shd w:fill="auto" w:val="clear"/>
        </w:rPr>
        <w:t>Lei nº 14.133, de 2021</w:t>
      </w:r>
      <w:bookmarkEnd w:id="2"/>
      <w:r>
        <w:rPr>
          <w:rFonts w:eastAsia="Arial" w:cs="Arial" w:ascii="Calibri" w:hAnsi="Calibri"/>
          <w:i w:val="false"/>
          <w:iCs w:val="false"/>
          <w:color w:val="000000"/>
          <w:sz w:val="24"/>
          <w:szCs w:val="24"/>
          <w:shd w:fill="auto" w:val="clear"/>
        </w:rPr>
        <w:t>);</w:t>
      </w:r>
    </w:p>
    <w:p>
      <w:pPr>
        <w:pStyle w:val="ListParagraph"/>
        <w:numPr>
          <w:ilvl w:val="0"/>
          <w:numId w:val="6"/>
        </w:numPr>
        <w:suppressAutoHyphens w:val="true"/>
        <w:spacing w:lineRule="auto" w:line="240" w:before="0" w:after="0"/>
        <w:ind w:left="284" w:hanging="0"/>
        <w:contextualSpacing/>
        <w:jc w:val="both"/>
        <w:rPr/>
      </w:pPr>
      <w:r>
        <w:rPr>
          <w:rFonts w:eastAsia="Arial" w:cs="Arial" w:ascii="Calibri" w:hAnsi="Calibri"/>
          <w:b/>
          <w:bCs/>
          <w:i w:val="false"/>
          <w:iCs w:val="false"/>
          <w:color w:val="000000"/>
          <w:sz w:val="24"/>
          <w:szCs w:val="24"/>
          <w:shd w:fill="auto" w:val="clear"/>
        </w:rPr>
        <w:t>Impedimento de licitar e contratar</w:t>
      </w:r>
      <w:r>
        <w:rPr>
          <w:rFonts w:eastAsia="Arial" w:cs="Arial" w:ascii="Calibri" w:hAnsi="Calibri"/>
          <w:i w:val="false"/>
          <w:iCs w:val="false"/>
          <w:color w:val="000000"/>
          <w:sz w:val="24"/>
          <w:szCs w:val="24"/>
          <w:shd w:fill="auto" w:val="clear"/>
        </w:rPr>
        <w:t>, quando praticadas as condutas descritas nas alíneas “b”, “c” e “d” do subitem acima deste Contrato, sempre que não se justificar a imposição de penalidade mais grave (</w:t>
      </w:r>
      <w:r>
        <w:fldChar w:fldCharType="begin"/>
      </w:r>
      <w:r>
        <w:rPr>
          <w:rStyle w:val="LinkdaInternet"/>
          <w:sz w:val="24"/>
          <w:i w:val="false"/>
          <w:shd w:fill="auto" w:val="clear"/>
          <w:szCs w:val="24"/>
          <w:iCs w:val="false"/>
          <w:rFonts w:eastAsia="Arial" w:cs="Arial" w:ascii="Calibri" w:hAnsi="Calibri"/>
          <w:color w:val="000000"/>
        </w:rPr>
        <w:instrText> HYPERLINK "http://www.planalto.gov.br/ccivil_03/_ato2019-2022/2021/lei/L14133.htm" \l "art156§4"</w:instrText>
      </w:r>
      <w:r>
        <w:rPr>
          <w:rStyle w:val="LinkdaInternet"/>
          <w:sz w:val="24"/>
          <w:i w:val="false"/>
          <w:shd w:fill="auto" w:val="clear"/>
          <w:szCs w:val="24"/>
          <w:iCs w:val="false"/>
          <w:rFonts w:eastAsia="Arial" w:cs="Arial" w:ascii="Calibri" w:hAnsi="Calibri"/>
          <w:color w:val="000000"/>
        </w:rPr>
        <w:fldChar w:fldCharType="separate"/>
      </w:r>
      <w:r>
        <w:rPr>
          <w:rStyle w:val="LinkdaInternet"/>
          <w:rFonts w:eastAsia="Arial" w:cs="Arial" w:ascii="Calibri" w:hAnsi="Calibri"/>
          <w:i w:val="false"/>
          <w:iCs w:val="false"/>
          <w:color w:val="000000"/>
          <w:sz w:val="24"/>
          <w:szCs w:val="24"/>
          <w:shd w:fill="auto" w:val="clear"/>
        </w:rPr>
        <w:t>art. 156, § 4º, da Lei nº 14.133, de 2021</w:t>
      </w:r>
      <w:r>
        <w:rPr>
          <w:rStyle w:val="LinkdaInternet"/>
          <w:sz w:val="24"/>
          <w:i w:val="false"/>
          <w:shd w:fill="auto" w:val="clear"/>
          <w:szCs w:val="24"/>
          <w:iCs w:val="false"/>
          <w:rFonts w:eastAsia="Arial" w:cs="Arial" w:ascii="Calibri" w:hAnsi="Calibri"/>
          <w:color w:val="000000"/>
        </w:rPr>
        <w:fldChar w:fldCharType="end"/>
      </w:r>
      <w:r>
        <w:rPr>
          <w:rFonts w:eastAsia="Arial" w:cs="Arial" w:ascii="Calibri" w:hAnsi="Calibri"/>
          <w:i w:val="false"/>
          <w:iCs w:val="false"/>
          <w:color w:val="000000"/>
          <w:sz w:val="24"/>
          <w:szCs w:val="24"/>
          <w:shd w:fill="auto" w:val="clear"/>
        </w:rPr>
        <w:t>);</w:t>
      </w:r>
    </w:p>
    <w:p>
      <w:pPr>
        <w:pStyle w:val="ListParagraph"/>
        <w:numPr>
          <w:ilvl w:val="0"/>
          <w:numId w:val="6"/>
        </w:numPr>
        <w:suppressAutoHyphens w:val="true"/>
        <w:spacing w:lineRule="auto" w:line="240" w:before="0" w:after="0"/>
        <w:ind w:left="284" w:hanging="0"/>
        <w:contextualSpacing/>
        <w:jc w:val="both"/>
        <w:rPr/>
      </w:pPr>
      <w:r>
        <w:rPr>
          <w:rFonts w:eastAsia="Arial" w:cs="Arial" w:ascii="Calibri" w:hAnsi="Calibri"/>
          <w:b/>
          <w:bCs/>
          <w:i w:val="false"/>
          <w:iCs w:val="false"/>
          <w:color w:val="000000"/>
          <w:sz w:val="24"/>
          <w:szCs w:val="24"/>
          <w:shd w:fill="auto" w:val="clear"/>
        </w:rPr>
        <w:t>Declaração de inidoneidade para licitar e contratar</w:t>
      </w:r>
      <w:r>
        <w:rPr>
          <w:rFonts w:eastAsia="Arial" w:cs="Arial" w:ascii="Calibri" w:hAnsi="Calibri"/>
          <w:i w:val="false"/>
          <w:iCs w:val="false"/>
          <w:color w:val="000000"/>
          <w:sz w:val="24"/>
          <w:szCs w:val="24"/>
          <w:shd w:fill="auto" w:val="clear"/>
        </w:rPr>
        <w:t>, quando praticadas as condutas descritas nas alíneas “e”, “f”, “g” e “h” do subitem acima deste Contrato, bem como nas alíneas “b”, “c” e “d”, que justifiquem a imposição de penalidade mais grave (</w:t>
      </w:r>
      <w:r>
        <w:fldChar w:fldCharType="begin"/>
      </w:r>
      <w:r>
        <w:rPr>
          <w:rStyle w:val="LinkdaInternet"/>
          <w:sz w:val="24"/>
          <w:i w:val="false"/>
          <w:shd w:fill="auto" w:val="clear"/>
          <w:szCs w:val="24"/>
          <w:iCs w:val="false"/>
          <w:rFonts w:eastAsia="Arial" w:cs="Arial" w:ascii="Calibri" w:hAnsi="Calibri"/>
          <w:color w:val="000000"/>
        </w:rPr>
        <w:instrText> HYPERLINK "http://www.planalto.gov.br/ccivil_03/_ato2019-2022/2021/lei/L14133.htm" \l "art156§5"</w:instrText>
      </w:r>
      <w:r>
        <w:rPr>
          <w:rStyle w:val="LinkdaInternet"/>
          <w:sz w:val="24"/>
          <w:i w:val="false"/>
          <w:shd w:fill="auto" w:val="clear"/>
          <w:szCs w:val="24"/>
          <w:iCs w:val="false"/>
          <w:rFonts w:eastAsia="Arial" w:cs="Arial" w:ascii="Calibri" w:hAnsi="Calibri"/>
          <w:color w:val="000000"/>
        </w:rPr>
        <w:fldChar w:fldCharType="separate"/>
      </w:r>
      <w:r>
        <w:rPr>
          <w:rStyle w:val="LinkdaInternet"/>
          <w:rFonts w:eastAsia="Arial" w:cs="Arial" w:ascii="Calibri" w:hAnsi="Calibri"/>
          <w:i w:val="false"/>
          <w:iCs w:val="false"/>
          <w:color w:val="000000"/>
          <w:sz w:val="24"/>
          <w:szCs w:val="24"/>
          <w:shd w:fill="auto" w:val="clear"/>
        </w:rPr>
        <w:t>art. 156, §5º, da Lei nº 14.133, de 2021</w:t>
      </w:r>
      <w:r>
        <w:rPr>
          <w:rStyle w:val="LinkdaInternet"/>
          <w:sz w:val="24"/>
          <w:i w:val="false"/>
          <w:shd w:fill="auto" w:val="clear"/>
          <w:szCs w:val="24"/>
          <w:iCs w:val="false"/>
          <w:rFonts w:eastAsia="Arial" w:cs="Arial" w:ascii="Calibri" w:hAnsi="Calibri"/>
          <w:color w:val="000000"/>
        </w:rPr>
        <w:fldChar w:fldCharType="end"/>
      </w:r>
      <w:r>
        <w:rPr>
          <w:rFonts w:eastAsia="Arial" w:cs="Arial" w:ascii="Calibri" w:hAnsi="Calibri"/>
          <w:i w:val="false"/>
          <w:iCs w:val="false"/>
          <w:color w:val="000000"/>
          <w:sz w:val="24"/>
          <w:szCs w:val="24"/>
          <w:shd w:fill="auto" w:val="clear"/>
        </w:rPr>
        <w:t>).</w:t>
      </w:r>
    </w:p>
    <w:p>
      <w:pPr>
        <w:pStyle w:val="ListParagraph"/>
        <w:numPr>
          <w:ilvl w:val="0"/>
          <w:numId w:val="6"/>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b/>
          <w:bCs/>
          <w:i w:val="false"/>
          <w:iCs w:val="false"/>
          <w:color w:val="000000"/>
          <w:sz w:val="24"/>
          <w:szCs w:val="24"/>
          <w:shd w:fill="auto" w:val="clear"/>
        </w:rPr>
        <w:t>Multa:</w:t>
      </w:r>
    </w:p>
    <w:p>
      <w:pPr>
        <w:pStyle w:val="ListParagraph"/>
        <w:numPr>
          <w:ilvl w:val="1"/>
          <w:numId w:val="6"/>
        </w:numPr>
        <w:suppressAutoHyphens w:val="true"/>
        <w:spacing w:lineRule="auto" w:line="240" w:before="0" w:after="0"/>
        <w:ind w:left="567" w:hanging="0"/>
        <w:contextualSpacing/>
        <w:jc w:val="both"/>
        <w:rPr>
          <w:rFonts w:ascii="Calibri" w:hAnsi="Calibri"/>
          <w:sz w:val="24"/>
          <w:szCs w:val="24"/>
        </w:rPr>
      </w:pPr>
      <w:commentRangeStart w:id="16"/>
      <w:r>
        <w:rPr>
          <w:rFonts w:eastAsia="Arial" w:cs="Arial" w:ascii="Calibri" w:hAnsi="Calibri"/>
          <w:i w:val="false"/>
          <w:iCs w:val="false"/>
          <w:color w:val="000000"/>
          <w:sz w:val="24"/>
          <w:szCs w:val="24"/>
          <w:shd w:fill="auto" w:val="clear"/>
        </w:rPr>
        <w:t xml:space="preserve">Moratória de </w:t>
      </w:r>
      <w:r>
        <w:rPr>
          <w:rFonts w:ascii="Calibri" w:hAnsi="Calibri"/>
          <w:i w:val="false"/>
          <w:iCs w:val="false"/>
          <w:color w:val="000000"/>
          <w:sz w:val="24"/>
          <w:szCs w:val="24"/>
          <w:shd w:fill="auto" w:val="clear"/>
        </w:rPr>
        <w:t xml:space="preserve">0,5% (cinco décimos por cento) </w:t>
      </w:r>
      <w:r>
        <w:rPr>
          <w:rFonts w:eastAsia="Arial" w:cs="Arial" w:ascii="Calibri" w:hAnsi="Calibri"/>
          <w:i w:val="false"/>
          <w:iCs w:val="false"/>
          <w:color w:val="000000"/>
          <w:sz w:val="24"/>
          <w:szCs w:val="24"/>
          <w:shd w:fill="auto" w:val="clear"/>
        </w:rPr>
        <w:t xml:space="preserve">por dia de atraso injustificado sobre o valor da parcela inadimplida, até o limite de </w:t>
      </w:r>
      <w:r>
        <w:rPr>
          <w:rFonts w:eastAsia="Arial" w:cs="Arial" w:ascii="Calibri" w:hAnsi="Calibri"/>
          <w:i w:val="false"/>
          <w:iCs w:val="false"/>
          <w:color w:val="000000"/>
          <w:sz w:val="24"/>
          <w:szCs w:val="24"/>
          <w:shd w:fill="auto" w:val="clear"/>
          <w:lang w:eastAsia="pt-BR"/>
        </w:rPr>
        <w:t>20</w:t>
      </w:r>
      <w:r>
        <w:rPr>
          <w:rFonts w:eastAsia="Arial" w:cs="Arial" w:ascii="Calibri" w:hAnsi="Calibri"/>
          <w:i w:val="false"/>
          <w:iCs w:val="false"/>
          <w:color w:val="000000"/>
          <w:sz w:val="24"/>
          <w:szCs w:val="24"/>
          <w:shd w:fill="auto" w:val="clear"/>
        </w:rPr>
        <w:t xml:space="preserve"> (</w:t>
      </w:r>
      <w:r>
        <w:rPr>
          <w:rFonts w:eastAsia="Arial" w:cs="Arial" w:ascii="Calibri" w:hAnsi="Calibri"/>
          <w:i w:val="false"/>
          <w:iCs w:val="false"/>
          <w:color w:val="000000"/>
          <w:sz w:val="24"/>
          <w:szCs w:val="24"/>
          <w:shd w:fill="auto" w:val="clear"/>
          <w:lang w:eastAsia="pt-BR"/>
        </w:rPr>
        <w:t>vinte</w:t>
      </w:r>
      <w:r>
        <w:rPr>
          <w:rFonts w:eastAsia="Arial" w:cs="Arial" w:ascii="Calibri" w:hAnsi="Calibri"/>
          <w:i w:val="false"/>
          <w:iCs w:val="false"/>
          <w:color w:val="000000"/>
          <w:sz w:val="24"/>
          <w:szCs w:val="24"/>
          <w:shd w:fill="auto" w:val="clear"/>
        </w:rPr>
        <w:t>) dias;</w:t>
      </w:r>
    </w:p>
    <w:p>
      <w:pPr>
        <w:pStyle w:val="ListParagraph"/>
        <w:numPr>
          <w:ilvl w:val="1"/>
          <w:numId w:val="6"/>
        </w:numPr>
        <w:suppressAutoHyphens w:val="true"/>
        <w:spacing w:lineRule="auto" w:line="240" w:before="0" w:after="0"/>
        <w:ind w:left="567"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 xml:space="preserve">Moratória de 0,5% (cinco décimos por cento) por dia de atraso injustificado sobre o valor total do contrato, até o máximo de </w:t>
      </w:r>
      <w:r>
        <w:rPr>
          <w:rFonts w:eastAsia="Arial" w:cs="Arial" w:ascii="Calibri" w:hAnsi="Calibri"/>
          <w:i w:val="false"/>
          <w:iCs w:val="false"/>
          <w:color w:val="000000"/>
          <w:sz w:val="24"/>
          <w:szCs w:val="24"/>
          <w:shd w:fill="auto" w:val="clear"/>
          <w:lang w:eastAsia="pt-BR"/>
        </w:rPr>
        <w:t>20</w:t>
      </w:r>
      <w:r>
        <w:rPr>
          <w:rFonts w:eastAsia="Arial" w:cs="Arial" w:ascii="Calibri" w:hAnsi="Calibri"/>
          <w:i w:val="false"/>
          <w:iCs w:val="false"/>
          <w:color w:val="000000"/>
          <w:sz w:val="24"/>
          <w:szCs w:val="24"/>
          <w:shd w:fill="auto" w:val="clear"/>
        </w:rPr>
        <w:t>% (</w:t>
      </w:r>
      <w:r>
        <w:rPr>
          <w:rFonts w:eastAsia="Arial" w:cs="Arial" w:ascii="Calibri" w:hAnsi="Calibri"/>
          <w:i w:val="false"/>
          <w:iCs w:val="false"/>
          <w:color w:val="000000"/>
          <w:sz w:val="24"/>
          <w:szCs w:val="24"/>
          <w:shd w:fill="auto" w:val="clear"/>
          <w:lang w:eastAsia="pt-BR"/>
        </w:rPr>
        <w:t>vinte</w:t>
      </w:r>
      <w:r>
        <w:rPr>
          <w:rFonts w:eastAsia="Arial" w:cs="Arial" w:ascii="Calibri" w:hAnsi="Calibri"/>
          <w:i w:val="false"/>
          <w:iCs w:val="false"/>
          <w:color w:val="000000"/>
          <w:sz w:val="24"/>
          <w:szCs w:val="24"/>
          <w:shd w:fill="auto" w:val="clear"/>
        </w:rPr>
        <w:t xml:space="preserve"> por cento), pela inobservância do prazo fixado para apresentação, suplementação ou reposição da garantia.</w:t>
      </w:r>
    </w:p>
    <w:p>
      <w:pPr>
        <w:pStyle w:val="ListParagraph"/>
        <w:numPr>
          <w:ilvl w:val="2"/>
          <w:numId w:val="6"/>
        </w:numPr>
        <w:suppressAutoHyphens w:val="true"/>
        <w:spacing w:lineRule="auto" w:line="240" w:before="0" w:after="0"/>
        <w:ind w:left="851"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 xml:space="preserve">O atraso superior a </w:t>
      </w:r>
      <w:r>
        <w:rPr>
          <w:rFonts w:eastAsia="Arial" w:cs="Arial" w:ascii="Calibri" w:hAnsi="Calibri"/>
          <w:i w:val="false"/>
          <w:iCs w:val="false"/>
          <w:color w:val="000000"/>
          <w:sz w:val="24"/>
          <w:szCs w:val="24"/>
          <w:shd w:fill="auto" w:val="clear"/>
          <w:lang w:eastAsia="pt-BR"/>
        </w:rPr>
        <w:t>20</w:t>
      </w:r>
      <w:r>
        <w:rPr>
          <w:rFonts w:eastAsia="Arial" w:cs="Arial" w:ascii="Calibri" w:hAnsi="Calibri"/>
          <w:i w:val="false"/>
          <w:iCs w:val="false"/>
          <w:color w:val="000000"/>
          <w:sz w:val="24"/>
          <w:szCs w:val="24"/>
          <w:shd w:fill="auto" w:val="clear"/>
        </w:rPr>
        <w:t xml:space="preserve"> dias autoriza a Administração a promover a extinção do contrato por descumprimento ou cumprimento irregular de suas cláusulas, conforme dispõe o inciso I do art. 137 da Lei n. 14.133, de 2021. </w:t>
      </w:r>
      <w:commentRangeEnd w:id="16"/>
      <w:r>
        <w:commentReference w:id="16"/>
      </w:r>
      <w:r>
        <w:rPr>
          <w:rFonts w:eastAsia="Arial" w:cs="Arial" w:ascii="Calibri" w:hAnsi="Calibri"/>
          <w:i w:val="false"/>
          <w:iCs w:val="false"/>
          <w:color w:val="000000"/>
          <w:sz w:val="24"/>
          <w:szCs w:val="24"/>
          <w:shd w:fill="auto" w:val="clear"/>
        </w:rPr>
      </w:r>
    </w:p>
    <w:p>
      <w:pPr>
        <w:pStyle w:val="ListParagraph"/>
        <w:numPr>
          <w:ilvl w:val="1"/>
          <w:numId w:val="6"/>
        </w:numPr>
        <w:suppressAutoHyphens w:val="true"/>
        <w:spacing w:lineRule="auto" w:line="240" w:before="0" w:after="0"/>
        <w:ind w:left="567"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 xml:space="preserve">Compensatória, para as infrações descritas nas alíneas “e” a “h” do subitem 12.1, de </w:t>
      </w:r>
      <w:r>
        <w:rPr>
          <w:rFonts w:eastAsia="Arial" w:cs="Arial" w:ascii="Calibri" w:hAnsi="Calibri"/>
          <w:i w:val="false"/>
          <w:iCs w:val="false"/>
          <w:color w:val="000000"/>
          <w:sz w:val="24"/>
          <w:szCs w:val="24"/>
          <w:shd w:fill="auto" w:val="clear"/>
          <w:lang w:eastAsia="pt-BR"/>
        </w:rPr>
        <w:t>20</w:t>
      </w:r>
      <w:r>
        <w:rPr>
          <w:rFonts w:eastAsia="Arial" w:cs="Arial" w:ascii="Calibri" w:hAnsi="Calibri"/>
          <w:i w:val="false"/>
          <w:iCs w:val="false"/>
          <w:color w:val="000000"/>
          <w:sz w:val="24"/>
          <w:szCs w:val="24"/>
          <w:shd w:fill="auto" w:val="clear"/>
        </w:rPr>
        <w:t xml:space="preserve">% a </w:t>
      </w:r>
      <w:r>
        <w:rPr>
          <w:rFonts w:eastAsia="Arial" w:cs="Arial" w:ascii="Calibri" w:hAnsi="Calibri"/>
          <w:i w:val="false"/>
          <w:iCs w:val="false"/>
          <w:color w:val="000000"/>
          <w:sz w:val="24"/>
          <w:szCs w:val="24"/>
          <w:shd w:fill="auto" w:val="clear"/>
          <w:lang w:eastAsia="pt-BR"/>
        </w:rPr>
        <w:t>30</w:t>
      </w:r>
      <w:r>
        <w:rPr>
          <w:rFonts w:eastAsia="Arial" w:cs="Arial" w:ascii="Calibri" w:hAnsi="Calibri"/>
          <w:i w:val="false"/>
          <w:iCs w:val="false"/>
          <w:color w:val="000000"/>
          <w:sz w:val="24"/>
          <w:szCs w:val="24"/>
          <w:shd w:fill="auto" w:val="clear"/>
        </w:rPr>
        <w:t xml:space="preserve">% do valor do </w:t>
      </w:r>
      <w:commentRangeStart w:id="17"/>
      <w:r>
        <w:rPr>
          <w:rFonts w:eastAsia="Arial" w:cs="Arial" w:ascii="Calibri" w:hAnsi="Calibri"/>
          <w:i w:val="false"/>
          <w:iCs w:val="false"/>
          <w:color w:val="000000"/>
          <w:sz w:val="24"/>
          <w:szCs w:val="24"/>
          <w:shd w:fill="auto" w:val="clear"/>
        </w:rPr>
        <w:t>Contrato</w:t>
      </w:r>
      <w:r>
        <w:rPr>
          <w:rFonts w:eastAsia="Arial" w:cs="Arial" w:ascii="Calibri" w:hAnsi="Calibri"/>
          <w:i w:val="false"/>
          <w:iCs w:val="false"/>
          <w:color w:val="000000"/>
          <w:sz w:val="24"/>
          <w:szCs w:val="24"/>
          <w:shd w:fill="auto" w:val="clear"/>
        </w:rPr>
      </w:r>
      <w:commentRangeEnd w:id="17"/>
      <w:r>
        <w:commentReference w:id="17"/>
      </w:r>
      <w:r>
        <w:rPr>
          <w:rFonts w:eastAsia="Arial" w:cs="Arial" w:ascii="Calibri" w:hAnsi="Calibri"/>
          <w:i w:val="false"/>
          <w:iCs w:val="false"/>
          <w:color w:val="000000"/>
          <w:sz w:val="24"/>
          <w:szCs w:val="24"/>
          <w:shd w:fill="auto" w:val="clear"/>
        </w:rPr>
        <w:t>.</w:t>
      </w:r>
    </w:p>
    <w:p>
      <w:pPr>
        <w:pStyle w:val="ListParagraph"/>
        <w:numPr>
          <w:ilvl w:val="1"/>
          <w:numId w:val="6"/>
        </w:numPr>
        <w:suppressAutoHyphens w:val="true"/>
        <w:spacing w:lineRule="auto" w:line="240" w:before="0" w:after="0"/>
        <w:ind w:left="567"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 xml:space="preserve">Compensatória, para a inexecução total do contrato prevista na alínea “c” do subitem 12.1, de </w:t>
      </w:r>
      <w:r>
        <w:rPr>
          <w:rFonts w:eastAsia="Arial" w:cs="Arial" w:ascii="Calibri" w:hAnsi="Calibri"/>
          <w:i w:val="false"/>
          <w:iCs w:val="false"/>
          <w:color w:val="000000"/>
          <w:sz w:val="24"/>
          <w:szCs w:val="24"/>
          <w:shd w:fill="auto" w:val="clear"/>
          <w:lang w:eastAsia="pt-BR"/>
        </w:rPr>
        <w:t>20</w:t>
      </w:r>
      <w:r>
        <w:rPr>
          <w:rFonts w:eastAsia="Arial" w:cs="Arial" w:ascii="Calibri" w:hAnsi="Calibri"/>
          <w:i w:val="false"/>
          <w:iCs w:val="false"/>
          <w:color w:val="000000"/>
          <w:sz w:val="24"/>
          <w:szCs w:val="24"/>
          <w:shd w:fill="auto" w:val="clear"/>
        </w:rPr>
        <w:t xml:space="preserve">% a </w:t>
      </w:r>
      <w:r>
        <w:rPr>
          <w:rFonts w:eastAsia="Arial" w:cs="Arial" w:ascii="Calibri" w:hAnsi="Calibri"/>
          <w:i w:val="false"/>
          <w:iCs w:val="false"/>
          <w:color w:val="000000"/>
          <w:sz w:val="24"/>
          <w:szCs w:val="24"/>
          <w:shd w:fill="auto" w:val="clear"/>
          <w:lang w:eastAsia="pt-BR"/>
        </w:rPr>
        <w:t>30</w:t>
      </w:r>
      <w:r>
        <w:rPr>
          <w:rFonts w:eastAsia="Arial" w:cs="Arial" w:ascii="Calibri" w:hAnsi="Calibri"/>
          <w:i w:val="false"/>
          <w:iCs w:val="false"/>
          <w:color w:val="000000"/>
          <w:sz w:val="24"/>
          <w:szCs w:val="24"/>
          <w:shd w:fill="auto" w:val="clear"/>
        </w:rPr>
        <w:t xml:space="preserve">%  do valor do Contrato. </w:t>
      </w:r>
    </w:p>
    <w:p>
      <w:pPr>
        <w:pStyle w:val="ListParagraph"/>
        <w:numPr>
          <w:ilvl w:val="1"/>
          <w:numId w:val="6"/>
        </w:numPr>
        <w:suppressAutoHyphens w:val="true"/>
        <w:spacing w:lineRule="auto" w:line="240" w:before="0" w:after="0"/>
        <w:ind w:left="567"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 xml:space="preserve">Para infração descrita na alínea “b” do subitem 12.1, a multa será de </w:t>
      </w:r>
      <w:r>
        <w:rPr>
          <w:rFonts w:eastAsia="Arial" w:cs="Arial" w:ascii="Calibri" w:hAnsi="Calibri"/>
          <w:i w:val="false"/>
          <w:iCs w:val="false"/>
          <w:color w:val="000000"/>
          <w:sz w:val="24"/>
          <w:szCs w:val="24"/>
          <w:shd w:fill="auto" w:val="clear"/>
          <w:lang w:eastAsia="pt-BR"/>
        </w:rPr>
        <w:t>20</w:t>
      </w:r>
      <w:r>
        <w:rPr>
          <w:rFonts w:eastAsia="Arial" w:cs="Arial" w:ascii="Calibri" w:hAnsi="Calibri"/>
          <w:i w:val="false"/>
          <w:iCs w:val="false"/>
          <w:color w:val="000000"/>
          <w:sz w:val="24"/>
          <w:szCs w:val="24"/>
          <w:shd w:fill="auto" w:val="clear"/>
        </w:rPr>
        <w:t xml:space="preserve">% a </w:t>
      </w:r>
      <w:r>
        <w:rPr>
          <w:rFonts w:eastAsia="Arial" w:cs="Arial" w:ascii="Calibri" w:hAnsi="Calibri"/>
          <w:i w:val="false"/>
          <w:iCs w:val="false"/>
          <w:color w:val="000000"/>
          <w:sz w:val="24"/>
          <w:szCs w:val="24"/>
          <w:shd w:fill="auto" w:val="clear"/>
          <w:lang w:eastAsia="pt-BR"/>
        </w:rPr>
        <w:t>30</w:t>
      </w:r>
      <w:r>
        <w:rPr>
          <w:rFonts w:eastAsia="Arial" w:cs="Arial" w:ascii="Calibri" w:hAnsi="Calibri"/>
          <w:i w:val="false"/>
          <w:iCs w:val="false"/>
          <w:color w:val="000000"/>
          <w:sz w:val="24"/>
          <w:szCs w:val="24"/>
          <w:shd w:fill="auto" w:val="clear"/>
        </w:rPr>
        <w:t>% do valor do Contrato.</w:t>
      </w:r>
    </w:p>
    <w:p>
      <w:pPr>
        <w:pStyle w:val="ListParagraph"/>
        <w:numPr>
          <w:ilvl w:val="1"/>
          <w:numId w:val="6"/>
        </w:numPr>
        <w:suppressAutoHyphens w:val="true"/>
        <w:spacing w:lineRule="auto" w:line="240" w:before="0" w:after="0"/>
        <w:ind w:left="567"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 xml:space="preserve">Para infrações descritas na alínea “d” do subitem 12.1, a multa será de </w:t>
      </w:r>
      <w:r>
        <w:rPr>
          <w:rFonts w:eastAsia="Arial" w:cs="Arial" w:ascii="Calibri" w:hAnsi="Calibri"/>
          <w:i w:val="false"/>
          <w:iCs w:val="false"/>
          <w:color w:val="000000"/>
          <w:sz w:val="24"/>
          <w:szCs w:val="24"/>
          <w:shd w:fill="auto" w:val="clear"/>
          <w:lang w:eastAsia="pt-BR"/>
        </w:rPr>
        <w:t>20</w:t>
      </w:r>
      <w:r>
        <w:rPr>
          <w:rFonts w:eastAsia="Arial" w:cs="Arial" w:ascii="Calibri" w:hAnsi="Calibri"/>
          <w:i w:val="false"/>
          <w:iCs w:val="false"/>
          <w:color w:val="000000"/>
          <w:sz w:val="24"/>
          <w:szCs w:val="24"/>
          <w:shd w:fill="auto" w:val="clear"/>
        </w:rPr>
        <w:t xml:space="preserve">% a </w:t>
      </w:r>
      <w:r>
        <w:rPr>
          <w:rFonts w:eastAsia="Arial" w:cs="Arial" w:ascii="Calibri" w:hAnsi="Calibri"/>
          <w:i w:val="false"/>
          <w:iCs w:val="false"/>
          <w:color w:val="000000"/>
          <w:sz w:val="24"/>
          <w:szCs w:val="24"/>
          <w:shd w:fill="auto" w:val="clear"/>
          <w:lang w:eastAsia="pt-BR"/>
        </w:rPr>
        <w:t>30</w:t>
      </w:r>
      <w:r>
        <w:rPr>
          <w:rFonts w:eastAsia="Arial" w:cs="Arial" w:ascii="Calibri" w:hAnsi="Calibri"/>
          <w:i w:val="false"/>
          <w:iCs w:val="false"/>
          <w:color w:val="000000"/>
          <w:sz w:val="24"/>
          <w:szCs w:val="24"/>
          <w:shd w:fill="auto" w:val="clear"/>
        </w:rPr>
        <w:t>%  do valor do Contrato.</w:t>
      </w:r>
    </w:p>
    <w:p>
      <w:pPr>
        <w:pStyle w:val="ListParagraph"/>
        <w:numPr>
          <w:ilvl w:val="1"/>
          <w:numId w:val="6"/>
        </w:numPr>
        <w:suppressAutoHyphens w:val="true"/>
        <w:spacing w:lineRule="auto" w:line="240" w:before="0" w:after="0"/>
        <w:ind w:left="567"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 xml:space="preserve">Para a infração descrita na alínea “a” do subitem 12.1, a multa será de </w:t>
      </w:r>
      <w:r>
        <w:rPr>
          <w:rFonts w:eastAsia="Arial" w:cs="Arial" w:ascii="Calibri" w:hAnsi="Calibri"/>
          <w:i w:val="false"/>
          <w:iCs w:val="false"/>
          <w:color w:val="000000"/>
          <w:sz w:val="24"/>
          <w:szCs w:val="24"/>
          <w:shd w:fill="auto" w:val="clear"/>
          <w:lang w:eastAsia="pt-BR"/>
        </w:rPr>
        <w:t>20</w:t>
      </w:r>
      <w:r>
        <w:rPr>
          <w:rFonts w:eastAsia="Arial" w:cs="Arial" w:ascii="Calibri" w:hAnsi="Calibri"/>
          <w:i w:val="false"/>
          <w:iCs w:val="false"/>
          <w:color w:val="000000"/>
          <w:sz w:val="24"/>
          <w:szCs w:val="24"/>
          <w:shd w:fill="auto" w:val="clear"/>
        </w:rPr>
        <w:t xml:space="preserve">% a </w:t>
      </w:r>
      <w:r>
        <w:rPr>
          <w:rFonts w:eastAsia="Arial" w:cs="Arial" w:ascii="Calibri" w:hAnsi="Calibri"/>
          <w:i w:val="false"/>
          <w:iCs w:val="false"/>
          <w:color w:val="000000"/>
          <w:sz w:val="24"/>
          <w:szCs w:val="24"/>
          <w:shd w:fill="auto" w:val="clear"/>
          <w:lang w:eastAsia="pt-BR"/>
        </w:rPr>
        <w:t>30</w:t>
      </w:r>
      <w:r>
        <w:rPr>
          <w:rFonts w:eastAsia="Arial" w:cs="Arial" w:ascii="Calibri" w:hAnsi="Calibri"/>
          <w:i w:val="false"/>
          <w:iCs w:val="false"/>
          <w:color w:val="000000"/>
          <w:sz w:val="24"/>
          <w:szCs w:val="24"/>
          <w:shd w:fill="auto" w:val="clear"/>
        </w:rPr>
        <w:t>% do valor do Contrato, ressalvadas as seguintes infrações:</w:t>
      </w:r>
    </w:p>
    <w:p>
      <w:pPr>
        <w:pStyle w:val="Nivel2"/>
        <w:numPr>
          <w:ilvl w:val="1"/>
          <w:numId w:val="184"/>
        </w:numPr>
        <w:spacing w:lineRule="auto" w:line="240" w:before="0" w:after="0"/>
        <w:ind w:left="0" w:hanging="0"/>
        <w:contextualSpacing/>
        <w:rPr/>
      </w:pPr>
      <w:r>
        <w:rPr>
          <w:rFonts w:ascii="Calibri" w:hAnsi="Calibri"/>
          <w:i w:val="false"/>
          <w:iCs w:val="false"/>
          <w:color w:val="000000"/>
          <w:sz w:val="24"/>
          <w:szCs w:val="24"/>
          <w:shd w:fill="auto" w:val="clear"/>
        </w:rPr>
        <w:t>A aplicação das sanções previstas neste Contrato não exclui, em hipótese alguma, a obrigação de reparação integral do dano causado ao Contratante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"art156§9"</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156, §9º,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3"/>
        <w:numPr>
          <w:ilvl w:val="2"/>
          <w:numId w:val="185"/>
        </w:numPr>
        <w:spacing w:lineRule="auto" w:line="240" w:before="0" w:after="0"/>
        <w:ind w:left="284" w:hanging="0"/>
        <w:contextualSpacing/>
        <w:rPr/>
      </w:pPr>
      <w:r>
        <w:rPr>
          <w:rFonts w:ascii="Calibri" w:hAnsi="Calibri"/>
          <w:i w:val="false"/>
          <w:iCs w:val="false"/>
          <w:color w:val="000000"/>
          <w:sz w:val="24"/>
          <w:szCs w:val="24"/>
          <w:shd w:fill="auto" w:val="clear"/>
        </w:rPr>
        <w:t>Todas as sanções previstas neste Contrato poderão ser aplicadas cumulativamente com a multa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"art156§7"</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156, §7º,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3"/>
        <w:numPr>
          <w:ilvl w:val="2"/>
          <w:numId w:val="186"/>
        </w:numPr>
        <w:spacing w:lineRule="auto" w:line="240" w:before="0" w:after="0"/>
        <w:ind w:left="284" w:hanging="0"/>
        <w:contextualSpacing/>
        <w:rPr/>
      </w:pPr>
      <w:r>
        <w:rPr>
          <w:rFonts w:ascii="Calibri" w:hAnsi="Calibri"/>
          <w:i w:val="false"/>
          <w:iCs w:val="false"/>
          <w:color w:val="000000"/>
          <w:sz w:val="24"/>
          <w:szCs w:val="24"/>
          <w:shd w:fill="auto" w:val="clear"/>
        </w:rPr>
        <w:t>Antes da aplicação da multa será facultada a defesa do interessado no prazo de 15 (quinze) dias úteis, contado da data de sua intimação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"art157"</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157,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3"/>
        <w:numPr>
          <w:ilvl w:val="2"/>
          <w:numId w:val="187"/>
        </w:numPr>
        <w:spacing w:lineRule="auto" w:line="240" w:before="0" w:after="0"/>
        <w:ind w:left="284" w:hanging="0"/>
        <w:contextualSpacing/>
        <w:rPr/>
      </w:pPr>
      <w:r>
        <w:rPr>
          <w:rFonts w:ascii="Calibri" w:hAnsi="Calibri"/>
          <w:i w:val="false"/>
          <w:iCs w:val="false"/>
          <w:color w:val="000000"/>
          <w:sz w:val="24"/>
          <w:szCs w:val="24"/>
          <w:shd w:fill="auto" w:val="clea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"art156§8"</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156, §8º,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3"/>
        <w:numPr>
          <w:ilvl w:val="2"/>
          <w:numId w:val="188"/>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 xml:space="preserve">Previamente ao encaminhamento à cobrança judicial, a multa poderá ser recolhida administrativamente no prazo máximo de </w:t>
      </w:r>
      <w:r>
        <w:rPr>
          <w:rFonts w:cs="Arial" w:ascii="Calibri" w:hAnsi="Calibri"/>
          <w:i w:val="false"/>
          <w:iCs w:val="false"/>
          <w:color w:val="000000"/>
          <w:sz w:val="24"/>
          <w:szCs w:val="24"/>
          <w:shd w:fill="auto" w:val="clear"/>
          <w:lang w:eastAsia="pt-BR"/>
        </w:rPr>
        <w:t xml:space="preserve">10 </w:t>
      </w:r>
      <w:r>
        <w:rPr>
          <w:rFonts w:ascii="Calibri" w:hAnsi="Calibri"/>
          <w:i w:val="false"/>
          <w:iCs w:val="false"/>
          <w:color w:val="000000"/>
          <w:sz w:val="24"/>
          <w:szCs w:val="24"/>
          <w:shd w:fill="auto" w:val="clear"/>
        </w:rPr>
        <w:t>(</w:t>
      </w:r>
      <w:r>
        <w:rPr>
          <w:rFonts w:cs="Arial" w:ascii="Calibri" w:hAnsi="Calibri"/>
          <w:i w:val="false"/>
          <w:iCs w:val="false"/>
          <w:color w:val="000000"/>
          <w:sz w:val="24"/>
          <w:szCs w:val="24"/>
          <w:shd w:fill="auto" w:val="clear"/>
          <w:lang w:eastAsia="pt-BR"/>
        </w:rPr>
        <w:t>dez</w:t>
      </w:r>
      <w:r>
        <w:rPr>
          <w:rFonts w:ascii="Calibri" w:hAnsi="Calibri"/>
          <w:i w:val="false"/>
          <w:iCs w:val="false"/>
          <w:color w:val="000000"/>
          <w:sz w:val="24"/>
          <w:szCs w:val="24"/>
          <w:shd w:fill="auto" w:val="clear"/>
        </w:rPr>
        <w:t>) dias, a contar da data do recebimento da comunicação enviada pela autoridade competente.</w:t>
      </w:r>
      <w:bookmarkStart w:id="3" w:name="_Hlk78351618"/>
      <w:bookmarkEnd w:id="3"/>
    </w:p>
    <w:p>
      <w:pPr>
        <w:pStyle w:val="Nivel2"/>
        <w:numPr>
          <w:ilvl w:val="1"/>
          <w:numId w:val="189"/>
        </w:numPr>
        <w:spacing w:lineRule="auto" w:line="240" w:before="0" w:after="0"/>
        <w:ind w:left="0" w:hanging="0"/>
        <w:contextualSpacing/>
        <w:rPr/>
      </w:pPr>
      <w:r>
        <w:rPr>
          <w:rFonts w:ascii="Calibri" w:hAnsi="Calibri"/>
          <w:i w:val="false"/>
          <w:iCs w:val="false"/>
          <w:color w:val="000000"/>
          <w:sz w:val="24"/>
          <w:szCs w:val="24"/>
          <w:shd w:fill="auto" w:val="clear"/>
        </w:rPr>
        <w:t xml:space="preserve">A aplicação das sanções realizar-se-á em processo administrativo que assegure o contraditório e a ampla defesa ao Contratado, observando-se o procedimento previsto no </w:t>
      </w:r>
      <w:r>
        <w:rPr>
          <w:rFonts w:ascii="Calibri" w:hAnsi="Calibri"/>
          <w:b/>
          <w:bCs/>
          <w:i w:val="false"/>
          <w:iCs w:val="false"/>
          <w:color w:val="000000"/>
          <w:sz w:val="24"/>
          <w:szCs w:val="24"/>
          <w:shd w:fill="auto" w:val="clear"/>
        </w:rPr>
        <w:t xml:space="preserve">caput </w:t>
      </w:r>
      <w:r>
        <w:rPr>
          <w:rFonts w:ascii="Calibri" w:hAnsi="Calibri"/>
          <w:i w:val="false"/>
          <w:iCs w:val="false"/>
          <w:color w:val="000000"/>
          <w:sz w:val="24"/>
          <w:szCs w:val="24"/>
          <w:shd w:fill="auto" w:val="clear"/>
        </w:rPr>
        <w:t xml:space="preserve">e parágrafos do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"art158"</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158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 para as penalidades de impedimento de licitar e contratar e de declaração de inidoneidade para licitar ou contratar.</w:t>
      </w:r>
    </w:p>
    <w:p>
      <w:pPr>
        <w:pStyle w:val="Nivel2"/>
        <w:numPr>
          <w:ilvl w:val="1"/>
          <w:numId w:val="190"/>
        </w:numPr>
        <w:spacing w:lineRule="auto" w:line="240" w:before="0" w:after="0"/>
        <w:ind w:left="0" w:hanging="0"/>
        <w:contextualSpacing/>
        <w:rPr/>
      </w:pPr>
      <w:r>
        <w:rPr>
          <w:rFonts w:ascii="Calibri" w:hAnsi="Calibri"/>
          <w:i w:val="false"/>
          <w:iCs w:val="false"/>
          <w:color w:val="000000"/>
          <w:sz w:val="24"/>
          <w:szCs w:val="24"/>
          <w:shd w:fill="auto" w:val="clear"/>
        </w:rPr>
        <w:t>Na aplicação das sanções serão considerados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"art156§1"</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156, §1º,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ormal"/>
        <w:numPr>
          <w:ilvl w:val="0"/>
          <w:numId w:val="3"/>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a natureza e a gravidade da infração cometida;</w:t>
      </w:r>
    </w:p>
    <w:p>
      <w:pPr>
        <w:pStyle w:val="Normal"/>
        <w:numPr>
          <w:ilvl w:val="0"/>
          <w:numId w:val="3"/>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as peculiaridades do caso concreto;</w:t>
      </w:r>
    </w:p>
    <w:p>
      <w:pPr>
        <w:pStyle w:val="Normal"/>
        <w:numPr>
          <w:ilvl w:val="0"/>
          <w:numId w:val="3"/>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as circunstâncias agravantes ou atenuantes;</w:t>
      </w:r>
    </w:p>
    <w:p>
      <w:pPr>
        <w:pStyle w:val="Normal"/>
        <w:numPr>
          <w:ilvl w:val="0"/>
          <w:numId w:val="3"/>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os danos que dela provierem para o Contratante;</w:t>
      </w:r>
    </w:p>
    <w:p>
      <w:pPr>
        <w:pStyle w:val="Normal"/>
        <w:numPr>
          <w:ilvl w:val="0"/>
          <w:numId w:val="3"/>
        </w:numPr>
        <w:suppressAutoHyphens w:val="true"/>
        <w:spacing w:lineRule="auto" w:line="240" w:before="0" w:after="0"/>
        <w:ind w:left="284"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a implantação ou o aperfeiçoamento de programa de integridade, conforme normas e orientações dos órgãos de controle.</w:t>
      </w:r>
    </w:p>
    <w:p>
      <w:pPr>
        <w:pStyle w:val="Nivel2"/>
        <w:numPr>
          <w:ilvl w:val="1"/>
          <w:numId w:val="191"/>
        </w:numPr>
        <w:spacing w:lineRule="auto" w:line="240" w:before="0" w:after="0"/>
        <w:ind w:left="0" w:hanging="0"/>
        <w:contextualSpacing/>
        <w:rPr/>
      </w:pPr>
      <w:r>
        <w:rPr>
          <w:rFonts w:ascii="Calibri" w:hAnsi="Calibri"/>
          <w:i w:val="false"/>
          <w:iCs w:val="false"/>
          <w:color w:val="000000"/>
          <w:sz w:val="24"/>
          <w:szCs w:val="24"/>
          <w:shd w:fill="auto" w:val="clear"/>
        </w:rPr>
        <w:t xml:space="preserve">Os atos previstos como infrações administrativas na </w:t>
      </w:r>
      <w:hyperlink r:id="rId6">
        <w:r>
          <w:rPr>
            <w:rStyle w:val="LinkdaInternet"/>
            <w:rFonts w:ascii="Calibri" w:hAnsi="Calibri"/>
            <w:i w:val="false"/>
            <w:iCs w:val="false"/>
            <w:color w:val="000000"/>
            <w:sz w:val="24"/>
            <w:szCs w:val="24"/>
            <w:shd w:fill="auto" w:val="clear"/>
          </w:rPr>
          <w:t>Lei nº 14.133, de 2021</w:t>
        </w:r>
      </w:hyperlink>
      <w:r>
        <w:rPr>
          <w:rFonts w:ascii="Calibri" w:hAnsi="Calibri"/>
          <w:i w:val="false"/>
          <w:iCs w:val="false"/>
          <w:color w:val="000000"/>
          <w:sz w:val="24"/>
          <w:szCs w:val="24"/>
          <w:shd w:fill="auto" w:val="clear"/>
        </w:rPr>
        <w:t xml:space="preserve">, ou em outras leis de licitações e contratos da Administração Pública que também sejam tipificados como atos lesivos na </w:t>
      </w:r>
      <w:hyperlink r:id="rId7">
        <w:r>
          <w:rPr>
            <w:rStyle w:val="LinkdaInternet"/>
            <w:rFonts w:ascii="Calibri" w:hAnsi="Calibri"/>
            <w:i w:val="false"/>
            <w:iCs w:val="false"/>
            <w:color w:val="000000"/>
            <w:sz w:val="24"/>
            <w:szCs w:val="24"/>
            <w:shd w:fill="auto" w:val="clear"/>
          </w:rPr>
          <w:t>Lei nº 12.846, de 2013</w:t>
        </w:r>
      </w:hyperlink>
      <w:r>
        <w:rPr>
          <w:rFonts w:ascii="Calibri" w:hAnsi="Calibri"/>
          <w:i w:val="false"/>
          <w:iCs w:val="false"/>
          <w:color w:val="000000"/>
          <w:sz w:val="24"/>
          <w:szCs w:val="24"/>
          <w:shd w:fill="auto" w:val="clear"/>
        </w:rPr>
        <w:t>, serão apurados e julgados conjuntamente, nos mesmos autos, observados o rito procedimental e autoridade competente definidos na referida Lei (</w:t>
      </w:r>
      <w:hyperlink r:id="rId8">
        <w:r>
          <w:rPr>
            <w:rStyle w:val="LinkdaInternet"/>
            <w:rFonts w:ascii="Calibri" w:hAnsi="Calibri"/>
            <w:i w:val="false"/>
            <w:iCs w:val="false"/>
            <w:color w:val="000000"/>
            <w:sz w:val="24"/>
            <w:szCs w:val="24"/>
            <w:shd w:fill="auto" w:val="clear"/>
          </w:rPr>
          <w:t>art. 159</w:t>
        </w:r>
      </w:hyperlink>
      <w:r>
        <w:rPr>
          <w:rFonts w:ascii="Calibri" w:hAnsi="Calibri"/>
          <w:i w:val="false"/>
          <w:iCs w:val="false"/>
          <w:color w:val="000000"/>
          <w:sz w:val="24"/>
          <w:szCs w:val="24"/>
          <w:shd w:fill="auto" w:val="clear"/>
        </w:rPr>
        <w:t>).</w:t>
      </w:r>
    </w:p>
    <w:p>
      <w:pPr>
        <w:pStyle w:val="Nivel2"/>
        <w:numPr>
          <w:ilvl w:val="1"/>
          <w:numId w:val="192"/>
        </w:numPr>
        <w:spacing w:lineRule="auto" w:line="240" w:before="0" w:after="0"/>
        <w:ind w:left="0" w:hanging="0"/>
        <w:contextualSpacing/>
        <w:rPr/>
      </w:pPr>
      <w:r>
        <w:rPr>
          <w:rFonts w:ascii="Calibri" w:hAnsi="Calibri"/>
          <w:i w:val="false"/>
          <w:iCs w:val="false"/>
          <w:color w:val="000000"/>
          <w:sz w:val="24"/>
          <w:szCs w:val="24"/>
          <w:shd w:fill="auto" w:val="clea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"art160"</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160,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193"/>
        </w:numPr>
        <w:spacing w:lineRule="auto" w:line="240" w:before="0" w:after="0"/>
        <w:ind w:left="0" w:hanging="0"/>
        <w:contextualSpacing/>
        <w:rPr/>
      </w:pPr>
      <w:r>
        <w:rPr>
          <w:rFonts w:ascii="Calibri" w:hAnsi="Calibri"/>
          <w:i w:val="false"/>
          <w:iCs w:val="false"/>
          <w:color w:val="000000"/>
          <w:sz w:val="24"/>
          <w:szCs w:val="24"/>
          <w:shd w:fill="auto" w:val="clear"/>
        </w:rPr>
        <w:t xml:space="preserve"> </w:t>
      </w:r>
      <w:r>
        <w:rPr>
          <w:rFonts w:ascii="Calibri" w:hAnsi="Calibri"/>
          <w:i w:val="false"/>
          <w:iCs w:val="false"/>
          <w:color w:val="000000"/>
          <w:sz w:val="24"/>
          <w:szCs w:val="24"/>
          <w:shd w:fill="auto" w:val="clea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"art161"</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161,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194"/>
        </w:numPr>
        <w:spacing w:lineRule="auto" w:line="240" w:before="0" w:after="0"/>
        <w:ind w:left="0" w:hanging="0"/>
        <w:contextualSpacing/>
        <w:rPr/>
      </w:pPr>
      <w:r>
        <w:rPr>
          <w:rFonts w:ascii="Calibri" w:hAnsi="Calibri"/>
          <w:i w:val="false"/>
          <w:iCs w:val="false"/>
          <w:color w:val="000000"/>
          <w:sz w:val="24"/>
          <w:szCs w:val="24"/>
          <w:shd w:fill="auto" w:val="clear"/>
        </w:rPr>
        <w:t xml:space="preserve">As sanções de impedimento de licitar e contratar e declaração de inidoneidade para licitar ou contratar são passíveis de reabilitação na forma do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"163"</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163 da Lei nº 14.133/21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195"/>
        </w:numPr>
        <w:spacing w:lineRule="auto" w:line="240" w:before="0" w:after="0"/>
        <w:ind w:left="0" w:hanging="0"/>
        <w:contextualSpacing/>
        <w:rPr/>
      </w:pPr>
      <w:r>
        <w:rPr>
          <w:rFonts w:ascii="Calibri" w:hAnsi="Calibri"/>
          <w:i w:val="false"/>
          <w:iCs w:val="false"/>
          <w:color w:val="000000"/>
          <w:sz w:val="24"/>
          <w:szCs w:val="24"/>
          <w:shd w:fill="auto" w:val="clea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Fonts w:ascii="Calibri" w:hAnsi="Calibri"/>
            <w:i w:val="false"/>
            <w:iCs w:val="false"/>
            <w:color w:val="000000"/>
            <w:sz w:val="24"/>
            <w:szCs w:val="24"/>
            <w:shd w:fill="auto" w:val="clear"/>
          </w:rPr>
          <w:t>Normativa SEGES/ME nº 26, de 13 de abril de 2022</w:t>
        </w:r>
      </w:hyperlink>
      <w:r>
        <w:rPr>
          <w:rFonts w:ascii="Calibri" w:hAnsi="Calibri"/>
          <w:i w:val="false"/>
          <w:iCs w:val="false"/>
          <w:color w:val="000000"/>
          <w:sz w:val="24"/>
          <w:szCs w:val="24"/>
          <w:shd w:fill="auto" w:val="clear"/>
        </w:rPr>
        <w:t xml:space="preserve">. </w:t>
      </w:r>
    </w:p>
    <w:p>
      <w:pPr>
        <w:pStyle w:val="Nivel2"/>
        <w:numPr>
          <w:ilvl w:val="0"/>
          <w:numId w:val="0"/>
        </w:numPr>
        <w:spacing w:lineRule="auto" w:line="240" w:before="0" w:after="0"/>
        <w:ind w:left="999" w:hanging="0"/>
        <w:contextualSpacing/>
        <w:rPr>
          <w:rFonts w:ascii="Calibri" w:hAnsi="Calibri"/>
          <w:sz w:val="24"/>
          <w:szCs w:val="24"/>
          <w:shd w:fill="auto" w:val="clear"/>
        </w:rPr>
      </w:pPr>
      <w:r>
        <w:rPr>
          <w:rFonts w:ascii="Calibri" w:hAnsi="Calibri"/>
          <w:sz w:val="24"/>
          <w:szCs w:val="24"/>
          <w:shd w:fill="auto" w:val="clear"/>
        </w:rPr>
      </w:r>
    </w:p>
    <w:p>
      <w:pPr>
        <w:pStyle w:val="Nivel01"/>
        <w:numPr>
          <w:ilvl w:val="0"/>
          <w:numId w:val="196"/>
        </w:numPr>
        <w:spacing w:lineRule="auto" w:line="240" w:before="0" w:after="0"/>
        <w:ind w:left="0" w:hanging="0"/>
        <w:contextualSpacing/>
        <w:rPr/>
      </w:pPr>
      <w:r>
        <w:rPr>
          <w:rFonts w:ascii="Calibri" w:hAnsi="Calibri"/>
          <w:i w:val="false"/>
          <w:iCs w:val="false"/>
          <w:color w:val="000000"/>
          <w:sz w:val="24"/>
          <w:szCs w:val="24"/>
          <w:shd w:fill="auto" w:val="clear"/>
        </w:rPr>
        <w:t>CLÁUSULA DÉCIMA SEGUNDA– DA EXTINÇÃO CONTRATUAL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XIX</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vel2Red"/>
        <w:numPr>
          <w:ilvl w:val="1"/>
          <w:numId w:val="197"/>
        </w:numPr>
        <w:spacing w:lineRule="auto" w:line="240" w:before="0" w:after="0"/>
        <w:ind w:left="0" w:hanging="0"/>
        <w:contextualSpacing/>
        <w:rPr>
          <w:rFonts w:ascii="Calibri" w:hAnsi="Calibri"/>
          <w:sz w:val="24"/>
          <w:szCs w:val="24"/>
        </w:rPr>
      </w:pPr>
      <w:commentRangeStart w:id="18"/>
      <w:r>
        <w:rPr>
          <w:rFonts w:ascii="Calibri" w:hAnsi="Calibri"/>
          <w:i w:val="false"/>
          <w:iCs w:val="false"/>
          <w:color w:val="000000"/>
          <w:sz w:val="24"/>
          <w:szCs w:val="24"/>
          <w:shd w:fill="auto" w:val="clear"/>
        </w:rPr>
        <w:t>O contrato será extinto quando cumpridas as obrigações de ambas as partes, ainda que isso ocorra antes do prazo estipulado para tanto.</w:t>
      </w:r>
    </w:p>
    <w:p>
      <w:pPr>
        <w:pStyle w:val="Nvel2Red"/>
        <w:numPr>
          <w:ilvl w:val="1"/>
          <w:numId w:val="198"/>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199"/>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Quando a não conclusão do contrato referida no item anterior decorrer de culpa do contratado:</w:t>
      </w:r>
    </w:p>
    <w:p>
      <w:pPr>
        <w:pStyle w:val="ListParagraph"/>
        <w:numPr>
          <w:ilvl w:val="0"/>
          <w:numId w:val="4"/>
        </w:numPr>
        <w:suppressAutoHyphens w:val="true"/>
        <w:spacing w:lineRule="auto" w:line="240" w:before="0" w:after="0"/>
        <w:ind w:left="567"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 xml:space="preserve">ficará ele constituído em mora, sendo-lhe aplicáveis as respectivas sanções administrativas; e  </w:t>
      </w:r>
    </w:p>
    <w:p>
      <w:pPr>
        <w:pStyle w:val="ListParagraph"/>
        <w:numPr>
          <w:ilvl w:val="0"/>
          <w:numId w:val="4"/>
        </w:numPr>
        <w:suppressAutoHyphens w:val="true"/>
        <w:spacing w:lineRule="auto" w:line="240" w:before="0" w:after="0"/>
        <w:ind w:left="567" w:hanging="0"/>
        <w:contextualSpacing/>
        <w:jc w:val="both"/>
        <w:rPr>
          <w:rFonts w:ascii="Calibri" w:hAnsi="Calibri"/>
          <w:sz w:val="24"/>
          <w:szCs w:val="24"/>
        </w:rPr>
      </w:pPr>
      <w:r>
        <w:rPr>
          <w:rFonts w:eastAsia="Arial" w:cs="Arial" w:ascii="Calibri" w:hAnsi="Calibri"/>
          <w:i w:val="false"/>
          <w:iCs w:val="false"/>
          <w:color w:val="000000"/>
          <w:sz w:val="24"/>
          <w:szCs w:val="24"/>
          <w:shd w:fill="auto" w:val="clear"/>
        </w:rPr>
        <w:t>poderá a Administração optar pela extinção do contrato e, nesse caso, adotará as medidas admitidas em lei para a continuidade da execução contratual.</w:t>
      </w:r>
      <w:commentRangeEnd w:id="18"/>
      <w:r>
        <w:commentReference w:id="18"/>
      </w:r>
      <w:r>
        <w:rPr>
          <w:rFonts w:eastAsia="Arial" w:cs="Arial" w:ascii="Calibri" w:hAnsi="Calibri"/>
          <w:i w:val="false"/>
          <w:iCs w:val="false"/>
          <w:color w:val="000000"/>
          <w:sz w:val="24"/>
          <w:szCs w:val="24"/>
          <w:shd w:fill="auto" w:val="clear"/>
        </w:rPr>
      </w:r>
    </w:p>
    <w:p>
      <w:pPr>
        <w:pStyle w:val="Nivel2"/>
        <w:numPr>
          <w:ilvl w:val="1"/>
          <w:numId w:val="200"/>
        </w:numPr>
        <w:spacing w:lineRule="auto" w:line="240" w:before="0" w:after="0"/>
        <w:ind w:left="0" w:hanging="0"/>
        <w:contextualSpacing/>
        <w:rPr/>
      </w:pPr>
      <w:r>
        <w:rPr>
          <w:rFonts w:ascii="Calibri" w:hAnsi="Calibri"/>
          <w:i w:val="false"/>
          <w:iCs w:val="false"/>
          <w:color w:val="000000"/>
          <w:sz w:val="24"/>
          <w:szCs w:val="24"/>
          <w:shd w:fill="auto" w:val="clear"/>
        </w:rPr>
        <w:t xml:space="preserve">O contrato poderá ser extinto antes de cumpridas as obrigações nele estipuladas, ou antes do prazo nele fixado, por algum dos motivos previstos no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"art137"</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artigo 137 da Lei nº 14.133/21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 xml:space="preserve">, bem como amigavelmente, </w:t>
      </w:r>
      <w:r>
        <w:rPr>
          <w:rFonts w:ascii="Calibri" w:hAnsi="Calibri"/>
          <w:i w:val="false"/>
          <w:iCs w:val="false"/>
          <w:color w:val="000000" w:themeColor="text1"/>
          <w:sz w:val="24"/>
          <w:szCs w:val="24"/>
          <w:shd w:fill="auto" w:val="clear"/>
        </w:rPr>
        <w:t>assegurados o contraditório e a ampla defesa</w:t>
      </w:r>
      <w:r>
        <w:rPr>
          <w:rFonts w:ascii="Calibri" w:hAnsi="Calibri"/>
          <w:i w:val="false"/>
          <w:iCs w:val="false"/>
          <w:color w:val="000000"/>
          <w:sz w:val="24"/>
          <w:szCs w:val="24"/>
          <w:shd w:fill="auto" w:val="clear"/>
        </w:rPr>
        <w:t>.</w:t>
      </w:r>
    </w:p>
    <w:p>
      <w:pPr>
        <w:pStyle w:val="Nivel3"/>
        <w:numPr>
          <w:ilvl w:val="2"/>
          <w:numId w:val="201"/>
        </w:numPr>
        <w:spacing w:lineRule="auto" w:line="240" w:before="0" w:after="0"/>
        <w:ind w:left="284" w:hanging="0"/>
        <w:contextualSpacing/>
        <w:rPr/>
      </w:pPr>
      <w:r>
        <w:rPr>
          <w:rFonts w:ascii="Calibri" w:hAnsi="Calibri"/>
          <w:i w:val="false"/>
          <w:iCs w:val="false"/>
          <w:color w:val="000000"/>
          <w:sz w:val="24"/>
          <w:szCs w:val="24"/>
          <w:shd w:fill="auto" w:val="clear"/>
        </w:rPr>
        <w:t xml:space="preserve">Nesta hipótese, aplicam-se também os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"art138"</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artigos 138 e 139 da mesma Lei</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3"/>
        <w:numPr>
          <w:ilvl w:val="2"/>
          <w:numId w:val="202"/>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A alteração social ou a modificação da finalidade ou da estrutura da empresa não ensejará a extinção se não restringir sua capacidade de concluir o contrato.</w:t>
      </w:r>
    </w:p>
    <w:p>
      <w:pPr>
        <w:pStyle w:val="Nivel4"/>
        <w:numPr>
          <w:ilvl w:val="3"/>
          <w:numId w:val="203"/>
        </w:numPr>
        <w:spacing w:lineRule="auto" w:line="240" w:before="0" w:after="0"/>
        <w:ind w:left="567" w:hanging="0"/>
        <w:contextualSpacing/>
        <w:rPr>
          <w:rFonts w:ascii="Calibri" w:hAnsi="Calibri"/>
          <w:sz w:val="24"/>
          <w:szCs w:val="24"/>
        </w:rPr>
      </w:pPr>
      <w:r>
        <w:rPr>
          <w:rFonts w:ascii="Calibri" w:hAnsi="Calibri"/>
          <w:i w:val="false"/>
          <w:iCs w:val="false"/>
          <w:color w:val="000000" w:themeColor="text1"/>
          <w:sz w:val="24"/>
          <w:szCs w:val="24"/>
          <w:shd w:fill="auto" w:val="clear"/>
        </w:rPr>
        <w:t xml:space="preserve">Se a </w:t>
      </w:r>
      <w:r>
        <w:rPr>
          <w:rFonts w:ascii="Calibri" w:hAnsi="Calibri"/>
          <w:i w:val="false"/>
          <w:iCs w:val="false"/>
          <w:color w:val="000000"/>
          <w:sz w:val="24"/>
          <w:szCs w:val="24"/>
          <w:shd w:fill="auto" w:val="clear"/>
        </w:rPr>
        <w:t>operação</w:t>
      </w:r>
      <w:r>
        <w:rPr>
          <w:rFonts w:ascii="Calibri" w:hAnsi="Calibri"/>
          <w:i w:val="false"/>
          <w:iCs w:val="false"/>
          <w:color w:val="000000" w:themeColor="text1"/>
          <w:sz w:val="24"/>
          <w:szCs w:val="24"/>
          <w:shd w:fill="auto" w:val="clear"/>
        </w:rPr>
        <w:t xml:space="preserve"> </w:t>
      </w:r>
      <w:r>
        <w:rPr>
          <w:rFonts w:ascii="Calibri" w:hAnsi="Calibri"/>
          <w:i w:val="false"/>
          <w:iCs w:val="false"/>
          <w:color w:val="000000"/>
          <w:sz w:val="24"/>
          <w:szCs w:val="24"/>
          <w:shd w:fill="auto" w:val="clear"/>
        </w:rPr>
        <w:t>implicar mudança da pessoa jurídica contratada, deverá ser formalizado termo aditivo para alteração subjetiva.</w:t>
      </w:r>
    </w:p>
    <w:p>
      <w:pPr>
        <w:pStyle w:val="Nivel2"/>
        <w:numPr>
          <w:ilvl w:val="1"/>
          <w:numId w:val="204"/>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O termo de extinção, sempre que possível, será precedido:</w:t>
      </w:r>
    </w:p>
    <w:p>
      <w:pPr>
        <w:pStyle w:val="Nivel3"/>
        <w:numPr>
          <w:ilvl w:val="2"/>
          <w:numId w:val="205"/>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Balanço dos eventos contratuais já cumpridos ou parcialmente cumpridos;</w:t>
      </w:r>
    </w:p>
    <w:p>
      <w:pPr>
        <w:pStyle w:val="Nivel3"/>
        <w:numPr>
          <w:ilvl w:val="2"/>
          <w:numId w:val="206"/>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Relação dos pagamentos já efetuados e ainda devidos;</w:t>
      </w:r>
    </w:p>
    <w:p>
      <w:pPr>
        <w:pStyle w:val="Nivel3"/>
        <w:numPr>
          <w:ilvl w:val="2"/>
          <w:numId w:val="207"/>
        </w:numPr>
        <w:spacing w:lineRule="auto" w:line="240" w:before="0" w:after="0"/>
        <w:ind w:left="284" w:hanging="0"/>
        <w:contextualSpacing/>
        <w:rPr>
          <w:rFonts w:ascii="Calibri" w:hAnsi="Calibri"/>
          <w:sz w:val="24"/>
          <w:szCs w:val="24"/>
        </w:rPr>
      </w:pPr>
      <w:r>
        <w:rPr>
          <w:rFonts w:ascii="Calibri" w:hAnsi="Calibri"/>
          <w:i w:val="false"/>
          <w:iCs w:val="false"/>
          <w:color w:val="000000"/>
          <w:sz w:val="24"/>
          <w:szCs w:val="24"/>
          <w:shd w:fill="auto" w:val="clear"/>
        </w:rPr>
        <w:t>Indenizações e multas.</w:t>
      </w:r>
    </w:p>
    <w:p>
      <w:pPr>
        <w:pStyle w:val="Nivel2"/>
        <w:numPr>
          <w:ilvl w:val="1"/>
          <w:numId w:val="208"/>
        </w:numPr>
        <w:spacing w:lineRule="auto" w:line="240" w:before="0" w:after="0"/>
        <w:ind w:left="0" w:hanging="0"/>
        <w:contextualSpacing/>
        <w:rPr/>
      </w:pPr>
      <w:r>
        <w:rPr>
          <w:rFonts w:ascii="Calibri" w:hAnsi="Calibri"/>
          <w:i w:val="false"/>
          <w:iCs w:val="false"/>
          <w:color w:val="000000"/>
          <w:sz w:val="24"/>
          <w:szCs w:val="24"/>
          <w:shd w:fill="auto" w:val="clear"/>
        </w:rPr>
        <w:t>A extinção do contrato não configura óbice para o reconhecimento do desequilíbrio econômico-financeiro, hipótese em que será concedida indenização por meio de termo indenizatório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"art131"</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131, caput,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 xml:space="preserve">). </w:t>
      </w:r>
    </w:p>
    <w:p>
      <w:pPr>
        <w:pStyle w:val="Nivel2"/>
        <w:numPr>
          <w:ilvl w:val="1"/>
          <w:numId w:val="209"/>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2"/>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210"/>
        </w:numPr>
        <w:spacing w:lineRule="auto" w:line="240" w:before="0" w:after="0"/>
        <w:ind w:left="0" w:hanging="0"/>
        <w:contextualSpacing/>
        <w:rPr/>
      </w:pPr>
      <w:r>
        <w:rPr>
          <w:rFonts w:ascii="Calibri" w:hAnsi="Calibri"/>
          <w:i w:val="false"/>
          <w:iCs w:val="false"/>
          <w:color w:val="000000"/>
          <w:sz w:val="24"/>
          <w:szCs w:val="24"/>
          <w:shd w:fill="auto" w:val="clear"/>
        </w:rPr>
        <w:t>CLÁUSULA DÉCIMA TERCEIRA – DOTAÇÃO ORÇAMENTÁRIA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VIII</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211"/>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As despesas decorrentes da presente contratação correrão à conta de recursos específicos consignados no Orçamento Geral da União deste exercício, na dotação abaixo discriminada:</w:t>
      </w:r>
    </w:p>
    <w:p>
      <w:pPr>
        <w:pStyle w:val="Normal"/>
        <w:numPr>
          <w:ilvl w:val="0"/>
          <w:numId w:val="0"/>
        </w:numPr>
        <w:tabs>
          <w:tab w:val="clear" w:pos="708"/>
        </w:tabs>
        <w:spacing w:lineRule="auto" w:line="240" w:before="0" w:after="0"/>
        <w:ind w:left="1211" w:right="0" w:hanging="0"/>
        <w:contextualSpacing/>
        <w:jc w:val="both"/>
        <w:rPr>
          <w:rFonts w:ascii="Calibri" w:hAnsi="Calibri"/>
          <w:sz w:val="24"/>
          <w:szCs w:val="24"/>
        </w:rPr>
      </w:pPr>
      <w:r>
        <w:rPr>
          <w:rFonts w:eastAsia="Arial" w:cs="Arial" w:ascii="Calibri" w:hAnsi="Calibri"/>
          <w:b w:val="false"/>
          <w:bCs w:val="false"/>
          <w:i w:val="false"/>
          <w:iCs w:val="false"/>
          <w:color w:val="000000"/>
          <w:sz w:val="24"/>
          <w:szCs w:val="24"/>
          <w:shd w:fill="auto" w:val="clear"/>
        </w:rPr>
        <w:t>Gestão/Unidade: 00001;</w:t>
      </w:r>
    </w:p>
    <w:p>
      <w:pPr>
        <w:pStyle w:val="PargrafodaLista"/>
        <w:numPr>
          <w:ilvl w:val="0"/>
          <w:numId w:val="0"/>
        </w:numPr>
        <w:spacing w:lineRule="auto" w:line="240" w:before="0" w:after="0"/>
        <w:ind w:left="1211" w:right="0" w:hanging="0"/>
        <w:contextualSpacing/>
        <w:jc w:val="both"/>
        <w:rPr>
          <w:rFonts w:ascii="Calibri" w:hAnsi="Calibri"/>
          <w:sz w:val="24"/>
          <w:szCs w:val="24"/>
        </w:rPr>
      </w:pPr>
      <w:r>
        <w:rPr>
          <w:rFonts w:eastAsia="Arial" w:cs="Arial" w:ascii="Calibri" w:hAnsi="Calibri"/>
          <w:b w:val="false"/>
          <w:bCs w:val="false"/>
          <w:i w:val="false"/>
          <w:iCs w:val="false"/>
          <w:color w:val="000000"/>
          <w:sz w:val="24"/>
          <w:szCs w:val="24"/>
          <w:shd w:fill="auto" w:val="clear"/>
        </w:rPr>
        <w:t>Fonte de Recursos: 0151000000;</w:t>
      </w:r>
    </w:p>
    <w:p>
      <w:pPr>
        <w:pStyle w:val="PargrafodaLista"/>
        <w:numPr>
          <w:ilvl w:val="0"/>
          <w:numId w:val="0"/>
        </w:numPr>
        <w:spacing w:lineRule="auto" w:line="240" w:before="0" w:after="0"/>
        <w:ind w:left="1211" w:right="0" w:hanging="0"/>
        <w:contextualSpacing/>
        <w:jc w:val="both"/>
        <w:rPr>
          <w:rFonts w:ascii="Calibri" w:hAnsi="Calibri"/>
          <w:sz w:val="24"/>
          <w:szCs w:val="24"/>
        </w:rPr>
      </w:pPr>
      <w:r>
        <w:rPr>
          <w:rFonts w:eastAsia="Arial" w:cs="Arial" w:ascii="Calibri" w:hAnsi="Calibri"/>
          <w:b w:val="false"/>
          <w:bCs w:val="false"/>
          <w:i w:val="false"/>
          <w:iCs w:val="false"/>
          <w:color w:val="000000"/>
          <w:sz w:val="24"/>
          <w:szCs w:val="24"/>
          <w:shd w:fill="auto" w:val="clear"/>
        </w:rPr>
        <w:t>Programa de Trabalho: 174709;</w:t>
      </w:r>
    </w:p>
    <w:p>
      <w:pPr>
        <w:pStyle w:val="PargrafodaLista"/>
        <w:numPr>
          <w:ilvl w:val="0"/>
          <w:numId w:val="0"/>
        </w:numPr>
        <w:spacing w:lineRule="auto" w:line="240" w:before="0" w:after="0"/>
        <w:ind w:left="1211" w:right="0" w:hanging="0"/>
        <w:contextualSpacing/>
        <w:jc w:val="both"/>
        <w:rPr>
          <w:rFonts w:ascii="Calibri" w:hAnsi="Calibri"/>
          <w:sz w:val="24"/>
          <w:szCs w:val="24"/>
        </w:rPr>
      </w:pPr>
      <w:r>
        <w:rPr>
          <w:rFonts w:eastAsia="Arial" w:cs="Arial" w:ascii="Calibri" w:hAnsi="Calibri"/>
          <w:b w:val="false"/>
          <w:bCs w:val="false"/>
          <w:i w:val="false"/>
          <w:iCs w:val="false"/>
          <w:color w:val="000000"/>
          <w:sz w:val="24"/>
          <w:szCs w:val="24"/>
          <w:shd w:fill="auto" w:val="clear"/>
        </w:rPr>
        <w:t>Elemento de Despesa: 339030;</w:t>
      </w:r>
    </w:p>
    <w:p>
      <w:pPr>
        <w:pStyle w:val="PargrafodaLista"/>
        <w:numPr>
          <w:ilvl w:val="0"/>
          <w:numId w:val="0"/>
        </w:numPr>
        <w:spacing w:lineRule="auto" w:line="240" w:before="0" w:after="0"/>
        <w:ind w:left="1211" w:right="0" w:hanging="0"/>
        <w:contextualSpacing/>
        <w:jc w:val="both"/>
        <w:rPr>
          <w:rFonts w:ascii="Calibri" w:hAnsi="Calibri"/>
          <w:sz w:val="24"/>
          <w:szCs w:val="24"/>
        </w:rPr>
      </w:pPr>
      <w:r>
        <w:rPr>
          <w:rFonts w:eastAsia="Arial" w:cs="Arial" w:ascii="Calibri" w:hAnsi="Calibri"/>
          <w:b w:val="false"/>
          <w:bCs w:val="false"/>
          <w:i w:val="false"/>
          <w:iCs w:val="false"/>
          <w:color w:val="000000"/>
          <w:sz w:val="24"/>
          <w:szCs w:val="24"/>
          <w:shd w:fill="auto" w:val="clear"/>
        </w:rPr>
        <w:t>Plano Interno: B42201.22.C1;</w:t>
      </w:r>
    </w:p>
    <w:p>
      <w:pPr>
        <w:pStyle w:val="Nvel2Red"/>
        <w:numPr>
          <w:ilvl w:val="1"/>
          <w:numId w:val="212"/>
        </w:numPr>
        <w:spacing w:lineRule="auto" w:line="240" w:before="0" w:after="0"/>
        <w:ind w:left="0" w:hanging="0"/>
        <w:contextualSpacing/>
        <w:rPr>
          <w:rFonts w:ascii="Calibri" w:hAnsi="Calibri"/>
          <w:sz w:val="24"/>
          <w:szCs w:val="24"/>
        </w:rPr>
      </w:pPr>
      <w:commentRangeStart w:id="19"/>
      <w:r>
        <w:rPr>
          <w:rFonts w:ascii="Calibri" w:hAnsi="Calibri"/>
          <w:i w:val="false"/>
          <w:iCs w:val="false"/>
          <w:color w:val="000000"/>
          <w:sz w:val="24"/>
          <w:szCs w:val="24"/>
          <w:shd w:fill="auto" w:val="clear"/>
        </w:rPr>
        <w:t>A dotação relativa aos exercícios financeiros subsequentes será indicada após aprovação da Lei Orçamentária respectiva e liberação dos créditos correspondentes, mediante apostilamento.</w:t>
      </w:r>
      <w:commentRangeEnd w:id="19"/>
      <w:r>
        <w:commentReference w:id="19"/>
      </w:r>
      <w:r>
        <w:rPr>
          <w:rFonts w:ascii="Calibri" w:hAnsi="Calibri"/>
          <w:i w:val="false"/>
          <w:iCs w:val="false"/>
          <w:color w:val="000000"/>
          <w:sz w:val="24"/>
          <w:szCs w:val="24"/>
          <w:shd w:fill="auto" w:val="clear"/>
        </w:rPr>
      </w:r>
    </w:p>
    <w:p>
      <w:pPr>
        <w:pStyle w:val="Nvel2Red"/>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213"/>
        </w:numPr>
        <w:spacing w:lineRule="auto" w:line="240" w:before="0" w:after="0"/>
        <w:ind w:left="0" w:hanging="0"/>
        <w:contextualSpacing/>
        <w:rPr/>
      </w:pPr>
      <w:r>
        <w:rPr>
          <w:rFonts w:ascii="Calibri" w:hAnsi="Calibri"/>
          <w:i w:val="false"/>
          <w:iCs w:val="false"/>
          <w:color w:val="000000"/>
          <w:sz w:val="24"/>
          <w:szCs w:val="24"/>
          <w:shd w:fill="auto" w:val="clear"/>
        </w:rPr>
        <w:t>CLÁUSULA DÉCIMA QUARTA – DOS CASOS OMISSOS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III</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214"/>
        </w:numPr>
        <w:spacing w:lineRule="auto" w:line="240" w:before="0" w:after="0"/>
        <w:ind w:left="0" w:hanging="0"/>
        <w:contextualSpacing/>
        <w:rPr/>
      </w:pPr>
      <w:commentRangeStart w:id="20"/>
      <w:r>
        <w:rPr>
          <w:rFonts w:ascii="Calibri" w:hAnsi="Calibri"/>
          <w:i w:val="false"/>
          <w:iCs w:val="false"/>
          <w:color w:val="000000"/>
          <w:sz w:val="24"/>
          <w:szCs w:val="24"/>
          <w:shd w:fill="auto" w:val="clear"/>
        </w:rPr>
        <w:t xml:space="preserve">Os casos omissos serão decididos pelo contratante, segundo as disposições contidas na Lei </w:t>
      </w:r>
      <w:hyperlink r:id="rId10">
        <w:r>
          <w:rPr>
            <w:rStyle w:val="LinkdaInternet"/>
            <w:rFonts w:ascii="Calibri" w:hAnsi="Calibri"/>
            <w:i w:val="false"/>
            <w:iCs w:val="false"/>
            <w:color w:val="000000"/>
            <w:sz w:val="24"/>
            <w:szCs w:val="24"/>
            <w:shd w:fill="auto" w:val="clear"/>
          </w:rPr>
          <w:t>nº 14.133, de 2021</w:t>
        </w:r>
      </w:hyperlink>
      <w:r>
        <w:rPr>
          <w:rFonts w:ascii="Calibri" w:hAnsi="Calibri"/>
          <w:i w:val="false"/>
          <w:iCs w:val="false"/>
          <w:color w:val="000000"/>
          <w:sz w:val="24"/>
          <w:szCs w:val="24"/>
          <w:shd w:fill="auto" w:val="clear"/>
        </w:rPr>
        <w:t xml:space="preserve">, e demais normas federais aplicáveis e, subsidiariamente, segundo as disposições contidas na </w:t>
      </w:r>
      <w:hyperlink r:id="rId11">
        <w:r>
          <w:rPr>
            <w:rStyle w:val="LinkdaInternet"/>
            <w:rFonts w:ascii="Calibri" w:hAnsi="Calibri"/>
            <w:i w:val="false"/>
            <w:iCs w:val="false"/>
            <w:color w:val="000000"/>
            <w:sz w:val="24"/>
            <w:szCs w:val="24"/>
            <w:shd w:fill="auto" w:val="clear"/>
          </w:rPr>
          <w:t>Lei nº 8.078, de 1990 – Código de Defesa do Consumidor</w:t>
        </w:r>
      </w:hyperlink>
      <w:r>
        <w:rPr>
          <w:rFonts w:ascii="Calibri" w:hAnsi="Calibri"/>
          <w:i w:val="false"/>
          <w:iCs w:val="false"/>
          <w:color w:val="000000"/>
          <w:sz w:val="24"/>
          <w:szCs w:val="24"/>
          <w:shd w:fill="auto" w:val="clear"/>
        </w:rPr>
        <w:t xml:space="preserve"> – e normas e princípios gerais dos contratos.</w:t>
      </w:r>
      <w:commentRangeEnd w:id="20"/>
      <w:r>
        <w:commentReference w:id="20"/>
      </w:r>
      <w:r>
        <w:rPr>
          <w:rFonts w:ascii="Calibri" w:hAnsi="Calibri"/>
          <w:i w:val="false"/>
          <w:iCs w:val="false"/>
          <w:color w:val="000000"/>
          <w:sz w:val="24"/>
          <w:szCs w:val="24"/>
          <w:shd w:fill="auto" w:val="clear"/>
        </w:rPr>
      </w:r>
    </w:p>
    <w:p>
      <w:pPr>
        <w:pStyle w:val="Nivel2"/>
        <w:numPr>
          <w:ilvl w:val="0"/>
          <w:numId w:val="0"/>
        </w:numPr>
        <w:spacing w:lineRule="auto" w:line="240" w:before="0" w:after="0"/>
        <w:ind w:left="999" w:hanging="0"/>
        <w:contextualSpacing/>
        <w:rPr>
          <w:rFonts w:ascii="Calibri" w:hAnsi="Calibri"/>
          <w:sz w:val="24"/>
          <w:szCs w:val="24"/>
          <w:shd w:fill="auto" w:val="clear"/>
        </w:rPr>
      </w:pPr>
      <w:r>
        <w:rPr>
          <w:rFonts w:ascii="Calibri" w:hAnsi="Calibri"/>
          <w:sz w:val="24"/>
          <w:szCs w:val="24"/>
          <w:shd w:fill="auto" w:val="clear"/>
        </w:rPr>
      </w:r>
    </w:p>
    <w:p>
      <w:pPr>
        <w:pStyle w:val="Nivel01"/>
        <w:numPr>
          <w:ilvl w:val="0"/>
          <w:numId w:val="215"/>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CLÁUSULA DÉCIMA QUINTA – ALTERAÇÕES</w:t>
      </w:r>
    </w:p>
    <w:p>
      <w:pPr>
        <w:pStyle w:val="Nivel2"/>
        <w:numPr>
          <w:ilvl w:val="1"/>
          <w:numId w:val="216"/>
        </w:numPr>
        <w:spacing w:lineRule="auto" w:line="240" w:before="0" w:after="0"/>
        <w:ind w:left="0" w:hanging="0"/>
        <w:contextualSpacing/>
        <w:rPr/>
      </w:pPr>
      <w:r>
        <w:rPr>
          <w:rFonts w:ascii="Calibri" w:hAnsi="Calibri"/>
          <w:i w:val="false"/>
          <w:iCs w:val="false"/>
          <w:color w:val="000000"/>
          <w:sz w:val="24"/>
          <w:szCs w:val="24"/>
          <w:shd w:fill="auto" w:val="clear"/>
        </w:rPr>
        <w:t xml:space="preserve">Eventuais alterações contratuais reger-se-ão pela disciplina dos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"art124"</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arts. 124 e seguintes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217"/>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18"/>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19"/>
        </w:numPr>
        <w:spacing w:lineRule="auto" w:line="240" w:before="0" w:after="0"/>
        <w:ind w:left="0" w:hanging="0"/>
        <w:contextualSpacing/>
        <w:rPr/>
      </w:pPr>
      <w:r>
        <w:rPr>
          <w:rFonts w:ascii="Calibri" w:hAnsi="Calibri"/>
          <w:i w:val="false"/>
          <w:iCs w:val="false"/>
          <w:color w:val="000000"/>
          <w:sz w:val="24"/>
          <w:szCs w:val="24"/>
          <w:shd w:fill="auto" w:val="clear"/>
        </w:rPr>
        <w:t xml:space="preserve">Registros que não caracterizam alteração do contrato podem ser realizados por simples apostila, dispensada a celebração de termo aditivo, na forma do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"art136"</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136 da Lei nº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0"/>
          <w:numId w:val="0"/>
        </w:numPr>
        <w:spacing w:lineRule="auto" w:line="240" w:before="0" w:after="0"/>
        <w:ind w:left="999" w:hanging="0"/>
        <w:contextualSpacing/>
        <w:rPr>
          <w:rFonts w:ascii="Calibri" w:hAnsi="Calibri"/>
          <w:i w:val="false"/>
          <w:i w:val="false"/>
          <w:iCs w:val="false"/>
          <w:color w:val="000000"/>
          <w:sz w:val="24"/>
          <w:szCs w:val="24"/>
          <w:shd w:fill="auto" w:val="clear"/>
        </w:rPr>
      </w:pPr>
      <w:r>
        <w:rPr/>
      </w:r>
    </w:p>
    <w:p>
      <w:pPr>
        <w:pStyle w:val="Nivel01"/>
        <w:numPr>
          <w:ilvl w:val="0"/>
          <w:numId w:val="220"/>
        </w:numPr>
        <w:spacing w:lineRule="auto" w:line="240" w:before="0" w:after="0"/>
        <w:ind w:left="0" w:hanging="0"/>
        <w:contextualSpacing/>
        <w:rPr>
          <w:rFonts w:ascii="Calibri" w:hAnsi="Calibri"/>
          <w:sz w:val="24"/>
          <w:szCs w:val="24"/>
        </w:rPr>
      </w:pPr>
      <w:r>
        <w:rPr>
          <w:rFonts w:ascii="Calibri" w:hAnsi="Calibri"/>
          <w:i w:val="false"/>
          <w:iCs w:val="false"/>
          <w:color w:val="000000"/>
          <w:sz w:val="24"/>
          <w:szCs w:val="24"/>
          <w:shd w:fill="auto" w:val="clear"/>
        </w:rPr>
        <w:t>CLÁUSULA DÉCIMA SEXTA – PUBLICAÇÃO</w:t>
      </w:r>
    </w:p>
    <w:p>
      <w:pPr>
        <w:pStyle w:val="Nivel2"/>
        <w:numPr>
          <w:ilvl w:val="1"/>
          <w:numId w:val="221"/>
        </w:numPr>
        <w:spacing w:lineRule="auto" w:line="240" w:before="0" w:after="0"/>
        <w:ind w:left="0" w:hanging="0"/>
        <w:contextualSpacing/>
        <w:rPr/>
      </w:pPr>
      <w:r>
        <w:rPr>
          <w:rFonts w:ascii="Calibri" w:hAnsi="Calibri"/>
          <w:i w:val="false"/>
          <w:iCs w:val="false"/>
          <w:color w:val="000000"/>
          <w:sz w:val="24"/>
          <w:szCs w:val="24"/>
          <w:shd w:fill="auto" w:val="clear"/>
        </w:rPr>
        <w:t xml:space="preserve">Incumbirá ao contratante divulgar o presente instrumento no Portal Nacional de Contratações Públicas (PNCP), na forma prevista no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"art94"</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94 da Lei 14.133, de 2021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 xml:space="preserve">, bem como no respectivo sítio oficial na Internet, em atenção ao art. 91, caput, da Lei n.º 14.133, de 2021, e ao </w:t>
      </w:r>
      <w:r>
        <w:fldChar w:fldCharType="begin"/>
      </w:r>
      <w:r>
        <w:rPr>
          <w:rStyle w:val="LinkdaInternet"/>
          <w:sz w:val="24"/>
          <w:i w:val="false"/>
          <w:shd w:fill="auto" w:val="clear"/>
          <w:szCs w:val="24"/>
          <w:iCs w:val="false"/>
          <w:rFonts w:ascii="Calibri" w:hAnsi="Calibri"/>
          <w:color w:val="000000"/>
        </w:rPr>
        <w:instrText> HYPERLINK "https://www.planalto.gov.br/ccivil_03/_ato2011-2014/2011/lei/l12527.htm" \l "art8§2"</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8º, §2º, da Lei n. 12.527, de 2011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 xml:space="preserve">, c/c </w:t>
      </w:r>
      <w:r>
        <w:fldChar w:fldCharType="begin"/>
      </w:r>
      <w:r>
        <w:rPr>
          <w:rStyle w:val="LinkdaInternet"/>
          <w:sz w:val="24"/>
          <w:i w:val="false"/>
          <w:shd w:fill="auto" w:val="clear"/>
          <w:szCs w:val="24"/>
          <w:iCs w:val="false"/>
          <w:rFonts w:ascii="Calibri" w:hAnsi="Calibri"/>
          <w:color w:val="000000"/>
        </w:rPr>
        <w:instrText> HYPERLINK "https://www.planalto.gov.br/ccivil_03/_ato2011-2014/2012/decreto/d7724.htm" \l "art7§3"</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7º, §3º, inciso V, do Decreto n. 7.724, de 2012</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0"/>
          <w:numId w:val="0"/>
        </w:numPr>
        <w:spacing w:lineRule="auto" w:line="240" w:before="0" w:after="0"/>
        <w:ind w:left="999" w:hanging="0"/>
        <w:contextualSpacing/>
        <w:rPr>
          <w:rFonts w:ascii="Calibri" w:hAnsi="Calibri"/>
          <w:sz w:val="24"/>
          <w:szCs w:val="24"/>
          <w:shd w:fill="auto" w:val="clear"/>
        </w:rPr>
      </w:pPr>
      <w:r>
        <w:rPr>
          <w:rFonts w:ascii="Calibri" w:hAnsi="Calibri"/>
          <w:sz w:val="24"/>
          <w:szCs w:val="24"/>
          <w:shd w:fill="auto" w:val="clear"/>
        </w:rPr>
      </w:r>
    </w:p>
    <w:p>
      <w:pPr>
        <w:pStyle w:val="Nivel01"/>
        <w:numPr>
          <w:ilvl w:val="0"/>
          <w:numId w:val="222"/>
        </w:numPr>
        <w:spacing w:lineRule="auto" w:line="240" w:before="0" w:after="0"/>
        <w:ind w:left="0" w:hanging="0"/>
        <w:contextualSpacing/>
        <w:rPr/>
      </w:pPr>
      <w:r>
        <w:rPr>
          <w:rFonts w:ascii="Calibri" w:hAnsi="Calibri"/>
          <w:i w:val="false"/>
          <w:iCs w:val="false"/>
          <w:color w:val="000000"/>
          <w:sz w:val="24"/>
          <w:szCs w:val="24"/>
          <w:shd w:fill="auto" w:val="clear"/>
        </w:rPr>
        <w:t>CLÁUSULA DÉCIMA SÉTIMA– FORO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"art92§1"</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§1º</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1"/>
          <w:numId w:val="223"/>
        </w:numPr>
        <w:spacing w:lineRule="auto" w:line="240" w:before="0" w:after="0"/>
        <w:ind w:left="0" w:hanging="0"/>
        <w:contextualSpacing/>
        <w:rPr/>
      </w:pPr>
      <w:r>
        <w:rPr>
          <w:rFonts w:ascii="Calibri" w:hAnsi="Calibri"/>
          <w:i w:val="false"/>
          <w:iCs w:val="false"/>
          <w:color w:val="000000"/>
          <w:sz w:val="24"/>
          <w:szCs w:val="24"/>
          <w:shd w:fill="auto" w:val="clear"/>
          <w:lang w:eastAsia="en-US"/>
        </w:rPr>
        <w:t xml:space="preserve">Fica eleito o Foro da Justiça Federal em </w:t>
      </w:r>
      <w:r>
        <w:rPr>
          <w:rFonts w:cs="Arial" w:ascii="Calibri" w:hAnsi="Calibri"/>
          <w:i w:val="false"/>
          <w:iCs w:val="false"/>
          <w:color w:val="000000"/>
          <w:sz w:val="24"/>
          <w:szCs w:val="24"/>
          <w:shd w:fill="auto" w:val="clear"/>
          <w:lang w:eastAsia="en-US"/>
        </w:rPr>
        <w:t>Fortaleza/CE</w:t>
      </w:r>
      <w:r>
        <w:rPr>
          <w:rFonts w:ascii="Calibri" w:hAnsi="Calibri"/>
          <w:i w:val="false"/>
          <w:iCs w:val="false"/>
          <w:color w:val="000000"/>
          <w:sz w:val="24"/>
          <w:szCs w:val="24"/>
          <w:shd w:fill="auto" w:val="clear"/>
        </w:rPr>
        <w:t xml:space="preserve">, Seção Judiciária de </w:t>
      </w:r>
      <w:r>
        <w:rPr>
          <w:rFonts w:cs="Times New Roman" w:ascii="Calibri" w:hAnsi="Calibri"/>
          <w:i w:val="false"/>
          <w:iCs w:val="false"/>
          <w:color w:val="000000"/>
          <w:sz w:val="24"/>
          <w:szCs w:val="24"/>
          <w:shd w:fill="auto" w:val="clear"/>
        </w:rPr>
        <w:t>de Fortaleza/CE</w:t>
      </w:r>
      <w:r>
        <w:rPr>
          <w:rFonts w:ascii="Calibri" w:hAnsi="Calibri"/>
          <w:i w:val="false"/>
          <w:iCs w:val="false"/>
          <w:color w:val="000000"/>
          <w:sz w:val="24"/>
          <w:szCs w:val="24"/>
          <w:shd w:fill="auto" w:val="clear"/>
        </w:rPr>
        <w:t xml:space="preserve"> para dirimir os litígios que decorrerem da execução deste Termo de Contrato que não puderem ser compostos pela conciliação, conforme </w:t>
      </w:r>
      <w:r>
        <w:fldChar w:fldCharType="begin"/>
      </w:r>
      <w:r>
        <w:rPr>
          <w:rStyle w:val="LinkdaInternet"/>
          <w:sz w:val="24"/>
          <w:i w:val="false"/>
          <w:shd w:fill="auto" w:val="clear"/>
          <w:szCs w:val="24"/>
          <w:iCs w:val="false"/>
          <w:rFonts w:ascii="Calibri" w:hAnsi="Calibri"/>
          <w:color w:val="000000"/>
        </w:rPr>
        <w:instrText> HYPERLINK "http://www.planalto.gov.br/ccivil_03/_ato2019-2022/2021/lei/L14133.htm" \l "art92§1"</w:instrText>
      </w:r>
      <w:r>
        <w:rPr>
          <w:rStyle w:val="LinkdaInternet"/>
          <w:sz w:val="24"/>
          <w:i w:val="false"/>
          <w:shd w:fill="auto" w:val="clear"/>
          <w:szCs w:val="24"/>
          <w:iCs w:val="false"/>
          <w:rFonts w:ascii="Calibri" w:hAnsi="Calibri"/>
          <w:color w:val="000000"/>
        </w:rPr>
        <w:fldChar w:fldCharType="separate"/>
      </w:r>
      <w:r>
        <w:rPr>
          <w:rStyle w:val="LinkdaInternet"/>
          <w:rFonts w:ascii="Calibri" w:hAnsi="Calibri"/>
          <w:i w:val="false"/>
          <w:iCs w:val="false"/>
          <w:color w:val="000000"/>
          <w:sz w:val="24"/>
          <w:szCs w:val="24"/>
          <w:shd w:fill="auto" w:val="clear"/>
        </w:rPr>
        <w:t>art. 92, §1º, da Lei nº 14.133/21</w:t>
      </w:r>
      <w:r>
        <w:rPr>
          <w:rStyle w:val="LinkdaInternet"/>
          <w:sz w:val="24"/>
          <w:i w:val="false"/>
          <w:shd w:fill="auto" w:val="clear"/>
          <w:szCs w:val="24"/>
          <w:iCs w:val="false"/>
          <w:rFonts w:ascii="Calibri" w:hAnsi="Calibri"/>
          <w:color w:val="000000"/>
        </w:rPr>
        <w:fldChar w:fldCharType="end"/>
      </w:r>
      <w:r>
        <w:rPr>
          <w:rFonts w:ascii="Calibri" w:hAnsi="Calibri"/>
          <w:i w:val="false"/>
          <w:iCs w:val="false"/>
          <w:color w:val="000000"/>
          <w:sz w:val="24"/>
          <w:szCs w:val="24"/>
          <w:shd w:fill="auto" w:val="clear"/>
        </w:rPr>
        <w:t>.</w:t>
      </w:r>
    </w:p>
    <w:p>
      <w:pPr>
        <w:pStyle w:val="Nivel2"/>
        <w:numPr>
          <w:ilvl w:val="0"/>
          <w:numId w:val="0"/>
        </w:numPr>
        <w:spacing w:lineRule="auto" w:line="240" w:before="0" w:after="0"/>
        <w:ind w:left="0" w:firstLine="567"/>
        <w:contextualSpacing/>
        <w:rPr>
          <w:rFonts w:ascii="Calibri" w:hAnsi="Calibri" w:cs="Arial"/>
          <w:sz w:val="24"/>
          <w:szCs w:val="24"/>
          <w:lang w:eastAsia="pt-BR"/>
        </w:rPr>
      </w:pPr>
      <w:r>
        <w:rPr>
          <w:rFonts w:cs="Arial" w:ascii="Calibri" w:hAnsi="Calibri"/>
          <w:sz w:val="24"/>
          <w:szCs w:val="24"/>
          <w:lang w:eastAsia="pt-BR"/>
        </w:rPr>
      </w:r>
    </w:p>
    <w:p>
      <w:pPr>
        <w:pStyle w:val="Nivel2"/>
        <w:numPr>
          <w:ilvl w:val="0"/>
          <w:numId w:val="0"/>
        </w:numPr>
        <w:spacing w:lineRule="auto" w:line="240" w:before="0" w:after="0"/>
        <w:ind w:left="0" w:firstLine="567"/>
        <w:contextualSpacing/>
        <w:rPr>
          <w:rFonts w:ascii="Calibri" w:hAnsi="Calibri" w:cs="Arial"/>
          <w:sz w:val="24"/>
          <w:szCs w:val="24"/>
          <w:lang w:eastAsia="pt-BR"/>
        </w:rPr>
      </w:pPr>
      <w:r>
        <w:rPr>
          <w:rFonts w:cs="Arial" w:ascii="Calibri" w:hAnsi="Calibri"/>
          <w:sz w:val="24"/>
          <w:szCs w:val="24"/>
          <w:lang w:eastAsia="pt-BR"/>
        </w:rPr>
      </w:r>
    </w:p>
    <w:p>
      <w:pPr>
        <w:pStyle w:val="Nivel2"/>
        <w:numPr>
          <w:ilvl w:val="0"/>
          <w:numId w:val="0"/>
        </w:numPr>
        <w:spacing w:lineRule="auto" w:line="240" w:before="0" w:after="0"/>
        <w:ind w:left="0" w:firstLine="567"/>
        <w:contextualSpacing/>
        <w:rPr>
          <w:rFonts w:ascii="Calibri" w:hAnsi="Calibri"/>
          <w:sz w:val="24"/>
          <w:szCs w:val="24"/>
        </w:rPr>
      </w:pPr>
      <w:r>
        <w:rPr>
          <w:rFonts w:cs="Arial" w:ascii="Calibri" w:hAnsi="Calibri"/>
          <w:i w:val="false"/>
          <w:iCs w:val="false"/>
          <w:color w:val="000000"/>
          <w:sz w:val="24"/>
          <w:szCs w:val="24"/>
          <w:shd w:fill="auto" w:val="clear"/>
          <w:lang w:eastAsia="pt-BR"/>
        </w:rPr>
        <w:t>Fortaleza/CE</w:t>
      </w:r>
      <w:r>
        <w:rPr>
          <w:rFonts w:ascii="Calibri" w:hAnsi="Calibri"/>
          <w:i w:val="false"/>
          <w:iCs w:val="false"/>
          <w:color w:val="000000"/>
          <w:sz w:val="24"/>
          <w:szCs w:val="24"/>
          <w:shd w:fill="auto" w:val="clear"/>
        </w:rPr>
        <w:t xml:space="preserve">,         de                    de </w:t>
      </w:r>
      <w:r>
        <w:rPr>
          <w:rFonts w:cs="Arial" w:ascii="Calibri" w:hAnsi="Calibri"/>
          <w:i w:val="false"/>
          <w:iCs w:val="false"/>
          <w:color w:val="000000"/>
          <w:sz w:val="24"/>
          <w:szCs w:val="24"/>
          <w:shd w:fill="auto" w:val="clear"/>
          <w:lang w:eastAsia="pt-BR"/>
        </w:rPr>
        <w:t>2023</w:t>
      </w:r>
      <w:r>
        <w:rPr>
          <w:rFonts w:ascii="Calibri" w:hAnsi="Calibri"/>
          <w:i w:val="false"/>
          <w:iCs w:val="false"/>
          <w:color w:val="000000"/>
          <w:sz w:val="24"/>
          <w:szCs w:val="24"/>
          <w:shd w:fill="auto" w:val="clear"/>
        </w:rPr>
        <w:t>.</w:t>
      </w:r>
    </w:p>
    <w:p>
      <w:pPr>
        <w:pStyle w:val="Nivel2"/>
        <w:numPr>
          <w:ilvl w:val="0"/>
          <w:numId w:val="0"/>
        </w:numPr>
        <w:spacing w:lineRule="auto" w:line="240" w:before="0" w:after="0"/>
        <w:ind w:left="0" w:firstLine="567"/>
        <w:contextualSpacing/>
        <w:rPr>
          <w:rFonts w:ascii="Calibri" w:hAnsi="Calibri"/>
          <w:sz w:val="24"/>
          <w:szCs w:val="24"/>
        </w:rPr>
      </w:pPr>
      <w:r>
        <w:rPr>
          <w:rFonts w:ascii="Calibri" w:hAnsi="Calibri"/>
          <w:sz w:val="24"/>
          <w:szCs w:val="24"/>
        </w:rPr>
      </w:r>
    </w:p>
    <w:p>
      <w:pPr>
        <w:pStyle w:val="Nivel2"/>
        <w:numPr>
          <w:ilvl w:val="0"/>
          <w:numId w:val="0"/>
        </w:numPr>
        <w:spacing w:lineRule="auto" w:line="240" w:before="0" w:after="0"/>
        <w:ind w:left="0" w:firstLine="567"/>
        <w:contextualSpacing/>
        <w:rPr>
          <w:rFonts w:ascii="Calibri" w:hAnsi="Calibri"/>
          <w:sz w:val="24"/>
          <w:szCs w:val="24"/>
        </w:rPr>
      </w:pPr>
      <w:r>
        <w:rPr>
          <w:rFonts w:ascii="Calibri" w:hAnsi="Calibri"/>
          <w:sz w:val="24"/>
          <w:szCs w:val="24"/>
        </w:rPr>
      </w:r>
    </w:p>
    <w:p>
      <w:pPr>
        <w:pStyle w:val="Nivel2"/>
        <w:numPr>
          <w:ilvl w:val="0"/>
          <w:numId w:val="0"/>
        </w:numPr>
        <w:spacing w:lineRule="auto" w:line="240" w:before="0" w:after="0"/>
        <w:ind w:left="0" w:firstLine="567"/>
        <w:contextualSpacing/>
        <w:rPr>
          <w:rFonts w:ascii="Calibri" w:hAnsi="Calibri"/>
          <w:sz w:val="24"/>
          <w:szCs w:val="24"/>
        </w:rPr>
      </w:pPr>
      <w:r>
        <w:rPr>
          <w:rFonts w:ascii="Calibri" w:hAnsi="Calibri"/>
          <w:sz w:val="24"/>
          <w:szCs w:val="24"/>
        </w:rPr>
      </w:r>
    </w:p>
    <w:p>
      <w:pPr>
        <w:pStyle w:val="Normal"/>
        <w:spacing w:lineRule="auto" w:line="240" w:before="0" w:after="0"/>
        <w:ind w:firstLine="567"/>
        <w:contextualSpacing/>
        <w:jc w:val="center"/>
        <w:rPr>
          <w:rFonts w:ascii="Calibri" w:hAnsi="Calibri"/>
          <w:sz w:val="24"/>
          <w:szCs w:val="24"/>
        </w:rPr>
      </w:pPr>
      <w:commentRangeStart w:id="21"/>
      <w:r>
        <w:rPr>
          <w:rFonts w:cs="Arial" w:ascii="Calibri" w:hAnsi="Calibri"/>
          <w:bCs/>
          <w:i w:val="false"/>
          <w:iCs w:val="false"/>
          <w:color w:val="000000"/>
          <w:sz w:val="24"/>
          <w:szCs w:val="24"/>
          <w:shd w:fill="auto" w:val="clear"/>
        </w:rPr>
        <w:t>_________________________</w:t>
      </w:r>
    </w:p>
    <w:p>
      <w:pPr>
        <w:pStyle w:val="Normal"/>
        <w:spacing w:lineRule="auto" w:line="240" w:before="0" w:after="0"/>
        <w:ind w:firstLine="567"/>
        <w:contextualSpacing/>
        <w:jc w:val="center"/>
        <w:rPr>
          <w:rFonts w:ascii="Calibri" w:hAnsi="Calibri"/>
          <w:sz w:val="24"/>
          <w:szCs w:val="24"/>
        </w:rPr>
      </w:pPr>
      <w:r>
        <w:rPr>
          <w:rFonts w:cs="Arial" w:ascii="Calibri" w:hAnsi="Calibri"/>
          <w:bCs/>
          <w:i w:val="false"/>
          <w:iCs w:val="false"/>
          <w:color w:val="000000"/>
          <w:sz w:val="24"/>
          <w:szCs w:val="24"/>
          <w:shd w:fill="auto" w:val="clear"/>
        </w:rPr>
        <w:t>Representante legal do CONTRATANTE</w:t>
      </w:r>
    </w:p>
    <w:p>
      <w:pPr>
        <w:pStyle w:val="Normal"/>
        <w:spacing w:lineRule="auto" w:line="240" w:before="0" w:after="0"/>
        <w:ind w:firstLine="567"/>
        <w:contextualSpacing/>
        <w:jc w:val="center"/>
        <w:rPr>
          <w:rFonts w:ascii="Calibri" w:hAnsi="Calibri"/>
          <w:sz w:val="24"/>
          <w:szCs w:val="24"/>
        </w:rPr>
      </w:pPr>
      <w:r>
        <w:rPr>
          <w:rFonts w:cs="Arial" w:ascii="Calibri" w:hAnsi="Calibri"/>
          <w:i w:val="false"/>
          <w:iCs w:val="false"/>
          <w:color w:val="000000"/>
          <w:sz w:val="24"/>
          <w:szCs w:val="24"/>
          <w:shd w:fill="auto" w:val="clear"/>
        </w:rPr>
        <w:t>_________________________</w:t>
      </w:r>
    </w:p>
    <w:p>
      <w:pPr>
        <w:pStyle w:val="Normal"/>
        <w:spacing w:lineRule="auto" w:line="240" w:before="0" w:after="0"/>
        <w:ind w:firstLine="567"/>
        <w:contextualSpacing/>
        <w:jc w:val="center"/>
        <w:rPr>
          <w:rFonts w:ascii="Calibri" w:hAnsi="Calibri"/>
          <w:sz w:val="24"/>
          <w:szCs w:val="24"/>
        </w:rPr>
      </w:pPr>
      <w:r>
        <w:rPr>
          <w:rFonts w:cs="Arial" w:ascii="Calibri" w:hAnsi="Calibri"/>
          <w:bCs/>
          <w:i w:val="false"/>
          <w:iCs w:val="false"/>
          <w:color w:val="000000"/>
          <w:sz w:val="24"/>
          <w:szCs w:val="24"/>
          <w:shd w:fill="auto" w:val="clear"/>
        </w:rPr>
        <w:t>Representante</w:t>
      </w:r>
      <w:r>
        <w:rPr>
          <w:rFonts w:cs="Arial" w:ascii="Calibri" w:hAnsi="Calibri"/>
          <w:i w:val="false"/>
          <w:iCs w:val="false"/>
          <w:color w:val="000000"/>
          <w:sz w:val="24"/>
          <w:szCs w:val="24"/>
          <w:shd w:fill="auto" w:val="clear"/>
        </w:rPr>
        <w:t xml:space="preserve"> legal do CONTRATADO</w:t>
      </w:r>
    </w:p>
    <w:p>
      <w:pPr>
        <w:pStyle w:val="Normal"/>
        <w:spacing w:lineRule="auto" w:line="240" w:before="0" w:after="0"/>
        <w:ind w:firstLine="567"/>
        <w:contextualSpacing/>
        <w:jc w:val="both"/>
        <w:rPr>
          <w:rFonts w:ascii="Calibri" w:hAnsi="Calibri"/>
          <w:sz w:val="24"/>
          <w:szCs w:val="24"/>
        </w:rPr>
      </w:pPr>
      <w:r>
        <w:rPr>
          <w:rFonts w:cs="Arial" w:ascii="Calibri" w:hAnsi="Calibri"/>
          <w:i w:val="false"/>
          <w:iCs w:val="false"/>
          <w:color w:val="000000"/>
          <w:sz w:val="24"/>
          <w:szCs w:val="24"/>
          <w:shd w:fill="auto" w:val="clear"/>
        </w:rPr>
        <w:t>TESTEMUNHAS:</w:t>
      </w:r>
    </w:p>
    <w:p>
      <w:pPr>
        <w:pStyle w:val="Normal"/>
        <w:spacing w:lineRule="auto" w:line="240" w:before="0" w:after="0"/>
        <w:ind w:firstLine="567"/>
        <w:contextualSpacing/>
        <w:rPr>
          <w:rFonts w:ascii="Calibri" w:hAnsi="Calibri"/>
          <w:sz w:val="24"/>
          <w:szCs w:val="24"/>
        </w:rPr>
      </w:pPr>
      <w:r>
        <w:rPr>
          <w:rFonts w:cs="Arial" w:ascii="Calibri" w:hAnsi="Calibri"/>
          <w:i w:val="false"/>
          <w:iCs w:val="false"/>
          <w:color w:val="000000"/>
          <w:sz w:val="24"/>
          <w:szCs w:val="24"/>
          <w:shd w:fill="auto" w:val="clear"/>
        </w:rPr>
        <w:t>1-</w:t>
      </w:r>
    </w:p>
    <w:p>
      <w:pPr>
        <w:pStyle w:val="Normal"/>
        <w:spacing w:lineRule="auto" w:line="240" w:before="0" w:after="0"/>
        <w:ind w:firstLine="567"/>
        <w:contextualSpacing/>
        <w:rPr>
          <w:rFonts w:ascii="Calibri" w:hAnsi="Calibri"/>
          <w:sz w:val="24"/>
          <w:szCs w:val="24"/>
        </w:rPr>
      </w:pPr>
      <w:r>
        <w:rPr>
          <w:rFonts w:cs="Arial" w:ascii="Calibri" w:hAnsi="Calibri"/>
          <w:i w:val="false"/>
          <w:iCs w:val="false"/>
          <w:color w:val="000000"/>
          <w:sz w:val="24"/>
          <w:szCs w:val="24"/>
          <w:shd w:fill="auto" w:val="clear"/>
        </w:rPr>
        <w:t xml:space="preserve">2- </w:t>
      </w:r>
      <w:commentRangeEnd w:id="21"/>
      <w:r>
        <w:commentReference w:id="21"/>
      </w:r>
      <w:r>
        <w:rPr>
          <w:rFonts w:cs="Arial" w:ascii="Calibri" w:hAnsi="Calibri"/>
          <w:i w:val="false"/>
          <w:iCs w:val="false"/>
          <w:color w:val="000000"/>
          <w:sz w:val="24"/>
          <w:szCs w:val="24"/>
          <w:shd w:fill="auto" w:val="clear"/>
        </w:rPr>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Segoe UI"/>
            <w:i/>
            <w:iCs/>
            <w:color w:val="000000"/>
            <w:lang w:val="en-US" w:eastAsia="en-US" w:bidi="en-US"/>
          </w:rPr>
          <w:t>cgu.modeloscontratacao@agu.gov.br</w:t>
        </w:r>
      </w:hyperlink>
    </w:p>
    <w:p>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Utilizar esta redação para contratos de escopo, cuja vigência se fundamenta no art. 105 da Lei n.º 14.133, de 2021.</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9" w:author="Autor" w:date="0-00-00T00:00:00Z" w:initials="A">
    <w:p>
      <w:r>
        <w:rPr>
          <w:rFonts w:ascii="Liberation Serif" w:hAnsi="Liberation Serif" w:eastAsia="Segoe UI"/>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10"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disposição do item 8.11 decorre do §4º, do art. 137, da Lei nº 14.133, de 2021.</w:t>
      </w:r>
    </w:p>
  </w:comment>
  <w:comment w:id="1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5"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No caso de aquisição de bens com prestação de serviços acessória, recomenda-se avaliar a inclusão dos subitens 9.18 a 9.22.</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6"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Recomenda-se suprimir a sanção relativa à apresentação, reposição ou suplementação da garantia caso esta não seja exigida para a contratação.</w:t>
      </w:r>
    </w:p>
  </w:comment>
  <w:comment w:id="17"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1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1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Segoe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07745269"/>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0"/>
        <w:i w:val="false"/>
        <w:b/>
        <w:iCs w:val="false"/>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7"/>
    <w:lvlOverride w:ilvl="0">
      <w:startOverride w:val="1"/>
    </w:lvlOverride>
  </w:num>
  <w:num w:numId="117">
    <w:abstractNumId w:val="7"/>
  </w:num>
  <w:num w:numId="118">
    <w:abstractNumId w:val="7"/>
  </w:num>
  <w:num w:numId="119">
    <w:abstractNumId w:val="7"/>
  </w:num>
  <w:num w:numId="120">
    <w:abstractNumId w:val="7"/>
  </w:num>
  <w:num w:numId="121">
    <w:abstractNumId w:val="7"/>
  </w:num>
  <w:num w:numId="122">
    <w:abstractNumId w:val="7"/>
  </w:num>
  <w:num w:numId="123">
    <w:abstractNumId w:val="7"/>
  </w:num>
  <w:num w:numId="124">
    <w:abstractNumId w:val="7"/>
  </w:num>
  <w:num w:numId="125">
    <w:abstractNumId w:val="7"/>
  </w:num>
  <w:num w:numId="126">
    <w:abstractNumId w:val="7"/>
  </w:num>
  <w:num w:numId="127">
    <w:abstractNumId w:val="7"/>
  </w:num>
  <w:num w:numId="128">
    <w:abstractNumId w:val="7"/>
  </w:num>
  <w:num w:numId="129">
    <w:abstractNumId w:val="7"/>
  </w:num>
  <w:num w:numId="130">
    <w:abstractNumId w:val="7"/>
  </w:num>
  <w:num w:numId="131">
    <w:abstractNumId w:val="7"/>
  </w:num>
  <w:num w:numId="132">
    <w:abstractNumId w:val="7"/>
  </w:num>
  <w:num w:numId="133">
    <w:abstractNumId w:val="7"/>
  </w:num>
  <w:num w:numId="134">
    <w:abstractNumId w:val="7"/>
  </w:num>
  <w:num w:numId="135">
    <w:abstractNumId w:val="7"/>
  </w:num>
  <w:num w:numId="136">
    <w:abstractNumId w:val="7"/>
  </w:num>
  <w:num w:numId="137">
    <w:abstractNumId w:val="7"/>
  </w:num>
  <w:num w:numId="138">
    <w:abstractNumId w:val="7"/>
  </w:num>
  <w:num w:numId="139">
    <w:abstractNumId w:val="7"/>
  </w:num>
  <w:num w:numId="140">
    <w:abstractNumId w:val="7"/>
  </w:num>
  <w:num w:numId="141">
    <w:abstractNumId w:val="7"/>
  </w:num>
  <w:num w:numId="142">
    <w:abstractNumId w:val="7"/>
  </w:num>
  <w:num w:numId="143">
    <w:abstractNumId w:val="7"/>
  </w:num>
  <w:num w:numId="144">
    <w:abstractNumId w:val="7"/>
  </w:num>
  <w:num w:numId="145">
    <w:abstractNumId w:val="7"/>
  </w:num>
  <w:num w:numId="146">
    <w:abstractNumId w:val="7"/>
  </w:num>
  <w:num w:numId="147">
    <w:abstractNumId w:val="7"/>
  </w:num>
  <w:num w:numId="148">
    <w:abstractNumId w:val="7"/>
  </w:num>
  <w:num w:numId="149">
    <w:abstractNumId w:val="7"/>
  </w:num>
  <w:num w:numId="150">
    <w:abstractNumId w:val="7"/>
  </w:num>
  <w:num w:numId="151">
    <w:abstractNumId w:val="7"/>
  </w:num>
  <w:num w:numId="152">
    <w:abstractNumId w:val="7"/>
  </w:num>
  <w:num w:numId="153">
    <w:abstractNumId w:val="7"/>
  </w:num>
  <w:num w:numId="154">
    <w:abstractNumId w:val="7"/>
  </w:num>
  <w:num w:numId="155">
    <w:abstractNumId w:val="7"/>
  </w:num>
  <w:num w:numId="156">
    <w:abstractNumId w:val="7"/>
  </w:num>
  <w:num w:numId="157">
    <w:abstractNumId w:val="7"/>
  </w:num>
  <w:num w:numId="158">
    <w:abstractNumId w:val="7"/>
  </w:num>
  <w:num w:numId="159">
    <w:abstractNumId w:val="7"/>
  </w:num>
  <w:num w:numId="160">
    <w:abstractNumId w:val="7"/>
  </w:num>
  <w:num w:numId="161">
    <w:abstractNumId w:val="7"/>
  </w:num>
  <w:num w:numId="162">
    <w:abstractNumId w:val="7"/>
  </w:num>
  <w:num w:numId="163">
    <w:abstractNumId w:val="7"/>
  </w:num>
  <w:num w:numId="164">
    <w:abstractNumId w:val="7"/>
  </w:num>
  <w:num w:numId="165">
    <w:abstractNumId w:val="7"/>
  </w:num>
  <w:num w:numId="166">
    <w:abstractNumId w:val="7"/>
  </w:num>
  <w:num w:numId="167">
    <w:abstractNumId w:val="7"/>
  </w:num>
  <w:num w:numId="168">
    <w:abstractNumId w:val="7"/>
  </w:num>
  <w:num w:numId="169">
    <w:abstractNumId w:val="7"/>
  </w:num>
  <w:num w:numId="170">
    <w:abstractNumId w:val="7"/>
  </w:num>
  <w:num w:numId="171">
    <w:abstractNumId w:val="7"/>
  </w:num>
  <w:num w:numId="172">
    <w:abstractNumId w:val="7"/>
  </w:num>
  <w:num w:numId="173">
    <w:abstractNumId w:val="7"/>
  </w:num>
  <w:num w:numId="174">
    <w:abstractNumId w:val="7"/>
  </w:num>
  <w:num w:numId="175">
    <w:abstractNumId w:val="7"/>
  </w:num>
  <w:num w:numId="176">
    <w:abstractNumId w:val="7"/>
  </w:num>
  <w:num w:numId="177">
    <w:abstractNumId w:val="7"/>
  </w:num>
  <w:num w:numId="178">
    <w:abstractNumId w:val="7"/>
  </w:num>
  <w:num w:numId="179">
    <w:abstractNumId w:val="7"/>
  </w:num>
  <w:num w:numId="180">
    <w:abstractNumId w:val="7"/>
  </w:num>
  <w:num w:numId="181">
    <w:abstractNumId w:val="7"/>
  </w:num>
  <w:num w:numId="182">
    <w:abstractNumId w:val="7"/>
  </w:num>
  <w:num w:numId="183">
    <w:abstractNumId w:val="7"/>
  </w:num>
  <w:num w:numId="184">
    <w:abstractNumId w:val="7"/>
  </w:num>
  <w:num w:numId="185">
    <w:abstractNumId w:val="7"/>
  </w:num>
  <w:num w:numId="186">
    <w:abstractNumId w:val="7"/>
  </w:num>
  <w:num w:numId="187">
    <w:abstractNumId w:val="7"/>
  </w:num>
  <w:num w:numId="188">
    <w:abstractNumId w:val="7"/>
  </w:num>
  <w:num w:numId="189">
    <w:abstractNumId w:val="7"/>
  </w:num>
  <w:num w:numId="190">
    <w:abstractNumId w:val="7"/>
  </w:num>
  <w:num w:numId="191">
    <w:abstractNumId w:val="7"/>
  </w:num>
  <w:num w:numId="192">
    <w:abstractNumId w:val="7"/>
  </w:num>
  <w:num w:numId="193">
    <w:abstractNumId w:val="7"/>
  </w:num>
  <w:num w:numId="194">
    <w:abstractNumId w:val="7"/>
  </w:num>
  <w:num w:numId="195">
    <w:abstractNumId w:val="7"/>
  </w:num>
  <w:num w:numId="196">
    <w:abstractNumId w:val="7"/>
  </w:num>
  <w:num w:numId="197">
    <w:abstractNumId w:val="7"/>
  </w:num>
  <w:num w:numId="198">
    <w:abstractNumId w:val="7"/>
  </w:num>
  <w:num w:numId="199">
    <w:abstractNumId w:val="7"/>
  </w:num>
  <w:num w:numId="200">
    <w:abstractNumId w:val="7"/>
  </w:num>
  <w:num w:numId="201">
    <w:abstractNumId w:val="7"/>
  </w:num>
  <w:num w:numId="202">
    <w:abstractNumId w:val="7"/>
  </w:num>
  <w:num w:numId="203">
    <w:abstractNumId w:val="7"/>
  </w:num>
  <w:num w:numId="204">
    <w:abstractNumId w:val="7"/>
  </w:num>
  <w:num w:numId="205">
    <w:abstractNumId w:val="7"/>
  </w:num>
  <w:num w:numId="206">
    <w:abstractNumId w:val="7"/>
  </w:num>
  <w:num w:numId="207">
    <w:abstractNumId w:val="7"/>
  </w:num>
  <w:num w:numId="208">
    <w:abstractNumId w:val="7"/>
  </w:num>
  <w:num w:numId="209">
    <w:abstractNumId w:val="7"/>
  </w:num>
  <w:num w:numId="210">
    <w:abstractNumId w:val="7"/>
  </w:num>
  <w:num w:numId="211">
    <w:abstractNumId w:val="7"/>
    <w:lvlOverride w:ilvl="1">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Override>
  </w:num>
  <w:num w:numId="212">
    <w:abstractNumId w:val="7"/>
    <w:lvlOverride w:ilvl="1">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Override>
  </w:num>
  <w:num w:numId="213">
    <w:abstractNumId w:val="7"/>
  </w:num>
  <w:num w:numId="214">
    <w:abstractNumId w:val="7"/>
  </w:num>
  <w:num w:numId="215">
    <w:abstractNumId w:val="7"/>
  </w:num>
  <w:num w:numId="216">
    <w:abstractNumId w:val="7"/>
    <w:lvlOverride w:ilvl="1">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Override>
  </w:num>
  <w:num w:numId="217">
    <w:abstractNumId w:val="7"/>
    <w:lvlOverride w:ilvl="1">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Override>
  </w:num>
  <w:num w:numId="218">
    <w:abstractNumId w:val="7"/>
    <w:lvlOverride w:ilvl="1">
      <w:lvl w:ilvl="1">
        <w:start w:val="1"/>
        <w:numFmt w:val="decimal"/>
        <w:lvlText w:val="%1.%2."/>
        <w:lvlJc w:val="left"/>
        <w:pPr>
          <w:tabs>
            <w:tab w:val="num" w:pos="0"/>
          </w:tabs>
          <w:ind w:left="999" w:hanging="432"/>
        </w:pPr>
        <w:rPr>
          <w:dstrike w:val="false"/>
          <w:strike w:val="false"/>
          <w:sz w:val="24"/>
          <w:i w:val="false"/>
          <w:u w:val="none"/>
          <w:b w:val="false"/>
          <w:szCs w:val="24"/>
          <w:rFonts w:ascii="Calibri" w:hAnsi="Calibri"/>
          <w:color w:val="auto"/>
        </w:rPr>
      </w:lvl>
    </w:lvlOverride>
  </w:num>
  <w:num w:numId="219">
    <w:abstractNumId w:val="7"/>
  </w:num>
  <w:num w:numId="220">
    <w:abstractNumId w:val="7"/>
  </w:num>
  <w:num w:numId="221">
    <w:abstractNumId w:val="7"/>
  </w:num>
  <w:num w:numId="222">
    <w:abstractNumId w:val="7"/>
  </w:num>
  <w:num w:numId="223">
    <w:abstractNumId w:val="7"/>
  </w:num>
</w:numbering>
</file>

<file path=word/settings.xml><?xml version="1.0" encoding="utf-8"?>
<w:settings xmlns:w="http://schemas.openxmlformats.org/wordprocessingml/2006/main">
  <w:zoom w:percent="14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Nfaseforte">
    <w:name w:val="Ênfase forte"/>
    <w:qFormat/>
    <w:rPr>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0"/>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0"/>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PargrafodaLista">
    <w:name w:val="Parágrafo da Lista"/>
    <w:basedOn w:val="Normal"/>
    <w:qFormat/>
    <w:pPr>
      <w:tabs>
        <w:tab w:val="clear" w:pos="708"/>
      </w:tabs>
      <w:suppressAutoHyphens w:val="true"/>
      <w:ind w:left="720" w:right="0" w:hanging="0"/>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53</TotalTime>
  <Application>LibreOffice/7.1.5.2$Windows_X86_64 LibreOffice_project/85f04e9f809797b8199d13c421bd8a2b025d52b5</Application>
  <AppVersion>15.0000</AppVersion>
  <Pages>9</Pages>
  <Words>3699</Words>
  <Characters>20630</Characters>
  <CharactersWithSpaces>24095</CharactersWithSpaces>
  <Paragraphs>174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2023-08-25T16:16:28Z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